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77" w:rsidRPr="004830A8" w:rsidRDefault="004830A8" w:rsidP="004830A8">
      <w:pPr>
        <w:suppressAutoHyphens/>
        <w:autoSpaceDE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EC99A15" wp14:editId="17290EB2">
            <wp:simplePos x="0" y="0"/>
            <wp:positionH relativeFrom="column">
              <wp:posOffset>141605</wp:posOffset>
            </wp:positionH>
            <wp:positionV relativeFrom="paragraph">
              <wp:posOffset>-505460</wp:posOffset>
            </wp:positionV>
            <wp:extent cx="5762625" cy="428625"/>
            <wp:effectExtent l="0" t="0" r="9525" b="9525"/>
            <wp:wrapNone/>
            <wp:docPr id="1" name="Obraz 1" descr="logotyp gó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gó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D77" w:rsidRPr="007A5D77" w:rsidRDefault="000966BE" w:rsidP="007A5D77">
      <w:pPr>
        <w:tabs>
          <w:tab w:val="center" w:pos="4536"/>
          <w:tab w:val="right" w:pos="9072"/>
        </w:tabs>
        <w:suppressAutoHyphens/>
        <w:spacing w:after="0" w:line="240" w:lineRule="auto"/>
        <w:ind w:left="-284"/>
        <w:jc w:val="center"/>
        <w:rPr>
          <w:rFonts w:ascii="Arial" w:eastAsia="Times New Roman" w:hAnsi="Arial" w:cs="Arial"/>
          <w:bCs/>
          <w:i/>
          <w:iCs/>
          <w:sz w:val="18"/>
          <w:szCs w:val="18"/>
          <w:lang w:eastAsia="ar-SA"/>
        </w:rPr>
      </w:pPr>
      <w:r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F31A323" wp14:editId="3E4C6762">
                <wp:simplePos x="0" y="0"/>
                <wp:positionH relativeFrom="column">
                  <wp:posOffset>-30480</wp:posOffset>
                </wp:positionH>
                <wp:positionV relativeFrom="paragraph">
                  <wp:posOffset>97154</wp:posOffset>
                </wp:positionV>
                <wp:extent cx="5937250" cy="0"/>
                <wp:effectExtent l="0" t="0" r="2540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pt,7.65pt" to="465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KmKg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"/>
            </w:pict>
          </mc:Fallback>
        </mc:AlternateContent>
      </w:r>
    </w:p>
    <w:p w:rsidR="007A5D77" w:rsidRPr="007A5D77" w:rsidRDefault="007A5D77" w:rsidP="007A5D77">
      <w:pPr>
        <w:suppressAutoHyphens/>
        <w:spacing w:after="0" w:line="360" w:lineRule="auto"/>
        <w:jc w:val="center"/>
        <w:rPr>
          <w:rFonts w:ascii="Arial" w:eastAsia="Calibri" w:hAnsi="Arial" w:cs="Arial"/>
          <w:sz w:val="18"/>
          <w:szCs w:val="18"/>
          <w:u w:val="single"/>
          <w:lang w:eastAsia="ar-SA"/>
        </w:rPr>
      </w:pPr>
      <w:r w:rsidRPr="007A5D77">
        <w:rPr>
          <w:rFonts w:ascii="Arial" w:eastAsia="Times New Roman" w:hAnsi="Arial" w:cs="Arial"/>
          <w:sz w:val="18"/>
          <w:szCs w:val="18"/>
          <w:u w:val="single"/>
          <w:lang w:eastAsia="ar-SA"/>
        </w:rPr>
        <w:t>Wydatek współfinansowany z Europejskiego Funduszu Społecznego</w:t>
      </w:r>
    </w:p>
    <w:p w:rsidR="007A5D77" w:rsidRPr="007A5D77" w:rsidRDefault="007A5D77" w:rsidP="007A5D7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:rsidR="007A5D77" w:rsidRPr="007A5D77" w:rsidRDefault="007A5D77" w:rsidP="007A5D7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7A5D77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Szacowanie wartości zamówienia</w:t>
      </w:r>
    </w:p>
    <w:p w:rsidR="007A5D77" w:rsidRPr="007A5D77" w:rsidRDefault="007A5D77" w:rsidP="007A5D7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Wynajem powierzchni  na potrzeby  organizacji imprezy konferencyjno-wystawowej                      pod roboczym tytułem "VII  Forum Rozwoju Mazowsza", którego realizacja planowana jest </w:t>
      </w:r>
      <w:r w:rsidRPr="007A5D77">
        <w:rPr>
          <w:rFonts w:ascii="Arial" w:eastAsia="Times New Roman" w:hAnsi="Arial" w:cs="Arial"/>
          <w:b/>
          <w:sz w:val="20"/>
          <w:szCs w:val="20"/>
          <w:lang w:eastAsia="ar-SA"/>
        </w:rPr>
        <w:br/>
        <w:t>na IV kwartał 2016 r. w Warszawie.</w:t>
      </w:r>
    </w:p>
    <w:p w:rsidR="007A5D77" w:rsidRPr="007A5D77" w:rsidRDefault="007A5D77" w:rsidP="007A5D7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b/>
          <w:sz w:val="20"/>
          <w:szCs w:val="20"/>
          <w:lang w:eastAsia="ar-SA"/>
        </w:rPr>
        <w:t>Organizatorem wydarzenia jest Mazowiecka Jednostka Wdrażania Programów Unijnych.</w:t>
      </w:r>
    </w:p>
    <w:p w:rsidR="007A5D77" w:rsidRPr="007A5D77" w:rsidRDefault="007A5D77" w:rsidP="007A5D77">
      <w:pPr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b/>
          <w:sz w:val="20"/>
          <w:szCs w:val="20"/>
          <w:lang w:eastAsia="ar-SA"/>
        </w:rPr>
        <w:t>I Opis przedmiotu zamówienia:</w:t>
      </w:r>
    </w:p>
    <w:p w:rsidR="007A5D77" w:rsidRPr="007A5D77" w:rsidRDefault="007A5D77" w:rsidP="007A5D77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>1. Nazwa robocza nadana zamówieniu przez Zamawiającego: Wynajem powierzchni na potrzeby organizacji kolejnej edycji  „VII Forum Rozwoju Mazowsza".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>2. Rodzaj zamówienia: usługi.</w:t>
      </w:r>
    </w:p>
    <w:p w:rsidR="007A5D77" w:rsidRPr="007A5D77" w:rsidRDefault="007A5D77" w:rsidP="007A5D77">
      <w:pPr>
        <w:tabs>
          <w:tab w:val="left" w:pos="511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>Wspólny Słownik Zamówień (CPV): 70220000-9 Usługi wynajmu lub leasingu nieruchomości innych niż mieszkalne.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>3. Określenie przedmiotu oraz wielkości lub zakresu zamówienia:</w:t>
      </w:r>
    </w:p>
    <w:p w:rsidR="007A5D77" w:rsidRPr="007A5D77" w:rsidRDefault="007A5D77" w:rsidP="007A5D77">
      <w:pPr>
        <w:keepNext/>
        <w:suppressAutoHyphens/>
        <w:spacing w:after="0" w:line="360" w:lineRule="auto"/>
        <w:ind w:left="284"/>
        <w:jc w:val="both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Przedmiotem zamówienia jest wynajem powierzchni konferencyjno-wystawienniczej na potrzeby organizacji dwudniowej imprezy dla minimum 2000, a maksymalnie 5000 osób, przy czym </w:t>
      </w:r>
      <w:r w:rsidRPr="007A5D7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jednym czasie w wydarzeniu będzie uczestniczyło maksymalnie 3200 osób.  </w:t>
      </w:r>
    </w:p>
    <w:p w:rsidR="007A5D77" w:rsidRPr="007A5D77" w:rsidRDefault="007A5D77" w:rsidP="007A5D77">
      <w:pPr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Obiekt zostanie wynajęty przez Zamawiającego na 3 doby (dwa dni imprezy + 1 doba montażowa/demontażowa). </w:t>
      </w:r>
    </w:p>
    <w:p w:rsidR="007A5D77" w:rsidRPr="007A5D77" w:rsidRDefault="007A5D77" w:rsidP="007A5D77">
      <w:pPr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Wynajęta powierzchnia/obiekt zapewniony przez Wykonawcę </w:t>
      </w:r>
      <w:r w:rsidRPr="007A5D77">
        <w:rPr>
          <w:rFonts w:ascii="Arial" w:eastAsia="Times New Roman" w:hAnsi="Arial" w:cs="Arial"/>
          <w:sz w:val="20"/>
          <w:szCs w:val="20"/>
          <w:u w:val="single"/>
          <w:lang w:eastAsia="ar-SA"/>
        </w:rPr>
        <w:t>musi znajdować się na terenie Warszawy, ale nie dalej niż 12 kilometrów od Dworca Centralnego w Warszawie</w:t>
      </w: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  -licząc od Al. Jerozolimskie 54 Warszawa za pomocą portali umożliwiających pomiar odległości (tj. </w:t>
      </w:r>
      <w:hyperlink r:id="rId9" w:history="1">
        <w:r w:rsidRPr="007A5D77">
          <w:rPr>
            <w:rFonts w:ascii="Arial" w:eastAsia="Times New Roman" w:hAnsi="Arial" w:cs="Arial"/>
            <w:sz w:val="20"/>
            <w:szCs w:val="20"/>
            <w:lang w:eastAsia="ar-SA"/>
          </w:rPr>
          <w:t>www.targeo.pl</w:t>
        </w:r>
      </w:hyperlink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hyperlink r:id="rId10" w:history="1">
        <w:r w:rsidRPr="007A5D77">
          <w:rPr>
            <w:rFonts w:ascii="Arial" w:eastAsia="Times New Roman" w:hAnsi="Arial" w:cs="Arial"/>
            <w:sz w:val="20"/>
            <w:szCs w:val="20"/>
            <w:lang w:eastAsia="ar-SA"/>
          </w:rPr>
          <w:t>www.maps.google.pl</w:t>
        </w:r>
      </w:hyperlink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 lub podobnych, odległość mierzona w sposób  odzwierciedlający faktyczną drogę jaką należy pokonać z Dworca Centralnego do zaproponowanego obiektu, a nie odległość mierzoną w linii prostej). </w:t>
      </w:r>
    </w:p>
    <w:p w:rsidR="007A5D77" w:rsidRPr="007A5D77" w:rsidRDefault="007A5D77" w:rsidP="007A5D77">
      <w:pPr>
        <w:keepNext/>
        <w:suppressAutoHyphens/>
        <w:spacing w:after="0" w:line="360" w:lineRule="auto"/>
        <w:ind w:left="284"/>
        <w:jc w:val="both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Przestrzeń zapewniona przez Wykonawcę musi mieć charakter </w:t>
      </w:r>
      <w:r w:rsidRPr="007A5D77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wystawienniczy, targowy </w:t>
      </w:r>
      <w:r w:rsidRPr="007A5D77">
        <w:rPr>
          <w:rFonts w:ascii="Arial" w:eastAsia="Times New Roman" w:hAnsi="Arial" w:cs="Arial"/>
          <w:sz w:val="20"/>
          <w:szCs w:val="20"/>
          <w:u w:val="single"/>
          <w:lang w:eastAsia="ar-SA"/>
        </w:rPr>
        <w:br/>
        <w:t>o neutralnym wykończeniu wnętrza.</w:t>
      </w: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7A5D77" w:rsidRPr="007A5D77" w:rsidRDefault="00943D2D" w:rsidP="000966BE">
      <w:pPr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II </w:t>
      </w:r>
      <w:r w:rsidR="007A5D77" w:rsidRPr="007A5D77">
        <w:rPr>
          <w:rFonts w:ascii="Arial" w:eastAsia="Times New Roman" w:hAnsi="Arial" w:cs="Arial"/>
          <w:b/>
          <w:sz w:val="20"/>
          <w:szCs w:val="20"/>
          <w:lang w:eastAsia="ar-SA"/>
        </w:rPr>
        <w:t>Powierzchnia zapewniona przez Wykonawcę musi posiadać:</w:t>
      </w:r>
    </w:p>
    <w:p w:rsidR="007A5D77" w:rsidRPr="000966BE" w:rsidRDefault="007A5D77" w:rsidP="007A5D77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Pomieszczenie/ </w:t>
      </w:r>
      <w:r w:rsidR="00943D2D"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powierzchnię 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t>targową/ wystawienniczą o następującej charakterystyce:</w:t>
      </w:r>
    </w:p>
    <w:p w:rsidR="007A5D77" w:rsidRPr="000966BE" w:rsidRDefault="007A5D77" w:rsidP="007A5D77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o minimalnej wielkości 3000 m</w:t>
      </w:r>
      <w:r w:rsidRPr="000966B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t>, maksymalnej 4000 m</w:t>
      </w:r>
      <w:r w:rsidRPr="000966B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 powierzchni podłogi, </w:t>
      </w:r>
    </w:p>
    <w:p w:rsidR="007A5D77" w:rsidRPr="000966BE" w:rsidRDefault="007A5D77" w:rsidP="007A5D77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gładkie, czyste ściany, umożliwiające wyświetlanie na nich tzw. </w:t>
      </w:r>
      <w:proofErr w:type="spellStart"/>
      <w:r w:rsidRPr="000966BE">
        <w:rPr>
          <w:rFonts w:ascii="Arial" w:eastAsia="Times New Roman" w:hAnsi="Arial" w:cs="Arial"/>
          <w:sz w:val="20"/>
          <w:szCs w:val="20"/>
          <w:lang w:eastAsia="ar-SA"/>
        </w:rPr>
        <w:t>mapingu</w:t>
      </w:r>
      <w:proofErr w:type="spellEnd"/>
      <w:r w:rsidRPr="000966BE">
        <w:rPr>
          <w:rFonts w:ascii="Arial" w:eastAsia="Times New Roman" w:hAnsi="Arial" w:cs="Arial"/>
          <w:sz w:val="20"/>
          <w:szCs w:val="20"/>
          <w:lang w:eastAsia="ar-SA"/>
        </w:rPr>
        <w:t>/ interaktywnej ściany,</w:t>
      </w:r>
    </w:p>
    <w:p w:rsidR="007A5D77" w:rsidRPr="000966BE" w:rsidRDefault="007A5D77" w:rsidP="007A5D77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podłogę wyłożoną terakotą/gresem lub drewnem/klepka/ panele bez ubytków, które </w:t>
      </w:r>
      <w:r w:rsidR="00943D2D"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nie 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t>będą utrudniały użytkowani</w:t>
      </w:r>
      <w:r w:rsidR="00943D2D" w:rsidRPr="000966BE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 powierzchni,</w:t>
      </w:r>
    </w:p>
    <w:p w:rsidR="007A5D77" w:rsidRPr="000966BE" w:rsidRDefault="007A5D77" w:rsidP="007A5D77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okna/ dostęp do światła dziennego oraz możliwość całkowitego zaciemnienia,</w:t>
      </w:r>
    </w:p>
    <w:p w:rsidR="007A5D77" w:rsidRPr="000966BE" w:rsidRDefault="007A5D77" w:rsidP="007A5D77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działające oświetlenie,</w:t>
      </w:r>
    </w:p>
    <w:p w:rsidR="007A5D77" w:rsidRPr="000966BE" w:rsidRDefault="007A5D77" w:rsidP="007A5D77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szczelny dach,</w:t>
      </w:r>
    </w:p>
    <w:p w:rsidR="007A5D77" w:rsidRPr="000966BE" w:rsidRDefault="007A5D77" w:rsidP="007A5D77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możliwość rozładunku elementów zabudowy w sposób zapewniający sprawne działanie, 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tj. możliwość wjazdu do budynku dla pojazdów typu </w:t>
      </w:r>
      <w:proofErr w:type="spellStart"/>
      <w:r w:rsidRPr="000966BE">
        <w:rPr>
          <w:rFonts w:ascii="Arial" w:eastAsia="Times New Roman" w:hAnsi="Arial" w:cs="Arial"/>
          <w:sz w:val="20"/>
          <w:szCs w:val="20"/>
          <w:lang w:eastAsia="ar-SA"/>
        </w:rPr>
        <w:t>bus</w:t>
      </w:r>
      <w:proofErr w:type="spellEnd"/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 lub możliwość podjazdu pod rampę lub bramę towarową, z której jest bezpośredni dostęp umożliwiający dalsze transportowanie załadunku wózkami paletowymi.</w:t>
      </w:r>
    </w:p>
    <w:p w:rsidR="007A5D77" w:rsidRPr="000966BE" w:rsidRDefault="007A5D77" w:rsidP="007A5D77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Pomieszczenie przeznaczone na potrzeby wydawania cateringu, które Zamawiający wykorzysta do wydawania posiłków dla minimum 200, a maksymalnie 400 osób o następującej charakterystyce: </w:t>
      </w:r>
    </w:p>
    <w:p w:rsidR="007A5D77" w:rsidRPr="000966BE" w:rsidRDefault="007A5D77" w:rsidP="007A5D7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o powierzchni minimalnej 200 m</w:t>
      </w:r>
      <w:r w:rsidRPr="000966B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</w:p>
    <w:p w:rsidR="007A5D77" w:rsidRPr="000966BE" w:rsidRDefault="007A5D77" w:rsidP="007A5D7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z dostępem do węzła sanitarnego (w pomieszczeniu lub w jego sąsiedztwie),</w:t>
      </w:r>
    </w:p>
    <w:p w:rsidR="007A5D77" w:rsidRPr="00E00F79" w:rsidRDefault="007A5D77" w:rsidP="00E00F79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musi znajdować się</w:t>
      </w:r>
      <w:r w:rsidR="00E00F79">
        <w:rPr>
          <w:rFonts w:ascii="Arial" w:eastAsia="Times New Roman" w:hAnsi="Arial" w:cs="Arial"/>
          <w:sz w:val="20"/>
          <w:szCs w:val="20"/>
          <w:lang w:eastAsia="ar-SA"/>
        </w:rPr>
        <w:t xml:space="preserve"> w tym samym budynku co przestrzeń wystawiennicza , </w:t>
      </w:r>
      <w:r w:rsidRPr="00E00F79">
        <w:rPr>
          <w:rFonts w:ascii="Arial" w:eastAsia="Times New Roman" w:hAnsi="Arial" w:cs="Arial"/>
          <w:sz w:val="20"/>
          <w:szCs w:val="20"/>
          <w:lang w:eastAsia="ar-SA"/>
        </w:rPr>
        <w:t>może znajdować się na innym piętrze, ale przejście z przestrzeni wystawienniczej do tego pomieszczenia musi być możliwe bez konieczności wychodzenia z budynku,</w:t>
      </w:r>
    </w:p>
    <w:p w:rsidR="007A5D77" w:rsidRPr="000966BE" w:rsidRDefault="007A5D77" w:rsidP="007A5D7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działające oświetlenie,</w:t>
      </w:r>
    </w:p>
    <w:p w:rsidR="007A5D77" w:rsidRPr="000966BE" w:rsidRDefault="007A5D77" w:rsidP="007A5D7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estetyczna podłoga,</w:t>
      </w:r>
    </w:p>
    <w:p w:rsidR="007A5D77" w:rsidRPr="000966BE" w:rsidRDefault="007A5D77" w:rsidP="007A5D7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czyste, gładkie ściany,</w:t>
      </w:r>
    </w:p>
    <w:p w:rsidR="007A5D77" w:rsidRPr="000966BE" w:rsidRDefault="007A5D77" w:rsidP="007A5D7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preferowane pomieszczenie z dostępem do światła dziennego.</w:t>
      </w:r>
    </w:p>
    <w:p w:rsidR="007A5D77" w:rsidRPr="000966BE" w:rsidRDefault="007A5D77" w:rsidP="007A5D77">
      <w:pPr>
        <w:suppressAutoHyphens/>
        <w:autoSpaceDE w:val="0"/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u w:val="single"/>
          <w:lang w:eastAsia="ar-SA"/>
        </w:rPr>
        <w:t>Uwaga: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 Dodatkowo Wykonawca musi zapewnić zaplecze sanitarne dla firmy cateringowej.</w:t>
      </w:r>
    </w:p>
    <w:p w:rsidR="007A5D77" w:rsidRPr="000966BE" w:rsidRDefault="007A5D77" w:rsidP="000966BE">
      <w:pPr>
        <w:suppressAutoHyphens/>
        <w:autoSpaceDE w:val="0"/>
        <w:spacing w:after="0" w:line="360" w:lineRule="auto"/>
        <w:ind w:left="644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3. Trzy pomieszczenia przeznaczone na </w:t>
      </w:r>
      <w:proofErr w:type="spellStart"/>
      <w:r w:rsidRPr="000966BE">
        <w:rPr>
          <w:rFonts w:ascii="Arial" w:eastAsia="Times New Roman" w:hAnsi="Arial" w:cs="Arial"/>
          <w:sz w:val="20"/>
          <w:szCs w:val="20"/>
          <w:lang w:eastAsia="ar-SA"/>
        </w:rPr>
        <w:t>Vip-room</w:t>
      </w:r>
      <w:proofErr w:type="spellEnd"/>
      <w:r w:rsidRPr="000966BE">
        <w:rPr>
          <w:rFonts w:ascii="Arial" w:eastAsia="Times New Roman" w:hAnsi="Arial" w:cs="Arial"/>
          <w:sz w:val="20"/>
          <w:szCs w:val="20"/>
          <w:lang w:eastAsia="ar-SA"/>
        </w:rPr>
        <w:t>, na biuro Zamawiającego oraz na magazyn  o następującej charakterystyce:</w:t>
      </w:r>
    </w:p>
    <w:p w:rsidR="007A5D77" w:rsidRPr="000966BE" w:rsidRDefault="007A5D77" w:rsidP="007A5D77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odpowiednio o powierzchni minimalnej 80 m</w:t>
      </w:r>
      <w:r w:rsidRPr="000966B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t>, 25 m</w:t>
      </w:r>
      <w:r w:rsidRPr="000966B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t>, 20 m</w:t>
      </w:r>
      <w:r w:rsidRPr="000966B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7A5D77" w:rsidRPr="00E00F79" w:rsidRDefault="007A5D77" w:rsidP="00E00F79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pomieszczenia te muszą znajdować się w tym samym budynku co p</w:t>
      </w:r>
      <w:r w:rsidR="00E00F79">
        <w:rPr>
          <w:rFonts w:ascii="Arial" w:eastAsia="Times New Roman" w:hAnsi="Arial" w:cs="Arial"/>
          <w:sz w:val="20"/>
          <w:szCs w:val="20"/>
          <w:lang w:eastAsia="ar-SA"/>
        </w:rPr>
        <w:t>ozostała zapewniona przestrzeń (</w:t>
      </w:r>
      <w:r w:rsidRPr="00E00F79">
        <w:rPr>
          <w:rFonts w:ascii="Arial" w:eastAsia="Times New Roman" w:hAnsi="Arial" w:cs="Arial"/>
          <w:sz w:val="20"/>
          <w:szCs w:val="20"/>
          <w:lang w:eastAsia="ar-SA"/>
        </w:rPr>
        <w:t xml:space="preserve">mogą znajdować się na innym piętrze niż przestrzeń </w:t>
      </w:r>
      <w:r w:rsidR="00943D2D" w:rsidRPr="00E00F79">
        <w:rPr>
          <w:rFonts w:ascii="Arial" w:eastAsia="Times New Roman" w:hAnsi="Arial" w:cs="Arial"/>
          <w:sz w:val="20"/>
          <w:szCs w:val="20"/>
          <w:lang w:eastAsia="ar-SA"/>
        </w:rPr>
        <w:t>wystawiennicza</w:t>
      </w:r>
      <w:r w:rsidRPr="00E00F79">
        <w:rPr>
          <w:rFonts w:ascii="Arial" w:eastAsia="Times New Roman" w:hAnsi="Arial" w:cs="Arial"/>
          <w:sz w:val="20"/>
          <w:szCs w:val="20"/>
          <w:lang w:eastAsia="ar-SA"/>
        </w:rPr>
        <w:t>, ale przejście musi być możliwe bez konieczności wychodzenia z budynku</w:t>
      </w:r>
      <w:r w:rsidR="00E00F79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E00F79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7A5D77" w:rsidRPr="000966BE" w:rsidRDefault="007A5D77" w:rsidP="007A5D77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podłoga wyłożona wykładziną dywanową lub terakotą lub podłoga drewniana,</w:t>
      </w:r>
    </w:p>
    <w:p w:rsidR="007A5D77" w:rsidRPr="000966BE" w:rsidRDefault="007A5D77" w:rsidP="007A5D77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gładkie, czyste ściany,</w:t>
      </w:r>
    </w:p>
    <w:p w:rsidR="007A5D77" w:rsidRPr="000966BE" w:rsidRDefault="007A5D77" w:rsidP="007A5D77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z możliwością zamknięcia drzwi na klucz lub kartę dostępu,</w:t>
      </w:r>
    </w:p>
    <w:p w:rsidR="007A5D77" w:rsidRPr="000966BE" w:rsidRDefault="007A5D77" w:rsidP="007A5D77">
      <w:pPr>
        <w:suppressAutoHyphens/>
        <w:autoSpaceDE w:val="0"/>
        <w:spacing w:after="0" w:line="360" w:lineRule="auto"/>
        <w:ind w:left="100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A5D77" w:rsidRPr="000966BE" w:rsidRDefault="007A5D77" w:rsidP="007A5D77">
      <w:pPr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Zapewniony obiekt/ powierzchnia musi gwarantować możliwość realizacji wydarzenia w formie imprezy zamkniętej.</w:t>
      </w:r>
    </w:p>
    <w:p w:rsidR="007A5D77" w:rsidRPr="000966BE" w:rsidRDefault="007A5D77" w:rsidP="007A5D77">
      <w:pPr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Obiekt zaproponowany przez Wykonawcę musi posiadać odpowiednią ilość sanitariatów (damskich i męskich), bieżącą wodę ciepłą i zimną (w sanitariatach), systemy bezpieczeństwa przeciw pożarowego tj. minimalnie sprzęt gaśniczy/ gaśnice zgodnie z obowiązującymi przepisami prawa, </w:t>
      </w:r>
      <w:r w:rsidRPr="000966BE">
        <w:rPr>
          <w:rFonts w:ascii="Arial" w:eastAsia="Calibri" w:hAnsi="Arial" w:cs="Arial"/>
          <w:sz w:val="20"/>
          <w:szCs w:val="20"/>
          <w:lang w:eastAsia="pl-PL"/>
        </w:rPr>
        <w:t>ogrzewanie jako stały element infrastruktury o</w:t>
      </w:r>
      <w:r w:rsidR="00E00F79">
        <w:rPr>
          <w:rFonts w:ascii="Arial" w:eastAsia="Calibri" w:hAnsi="Arial" w:cs="Arial"/>
          <w:sz w:val="20"/>
          <w:szCs w:val="20"/>
          <w:lang w:eastAsia="pl-PL"/>
        </w:rPr>
        <w:t>biektu lub urządzenia przenośne.</w:t>
      </w:r>
    </w:p>
    <w:p w:rsidR="007A5D77" w:rsidRPr="000966BE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b/>
          <w:sz w:val="20"/>
          <w:szCs w:val="20"/>
          <w:lang w:eastAsia="ar-SA"/>
        </w:rPr>
        <w:t>II</w:t>
      </w:r>
      <w:r w:rsidR="000966BE" w:rsidRPr="000966BE">
        <w:rPr>
          <w:rFonts w:ascii="Arial" w:eastAsia="Times New Roman" w:hAnsi="Arial" w:cs="Arial"/>
          <w:b/>
          <w:sz w:val="20"/>
          <w:szCs w:val="20"/>
          <w:lang w:eastAsia="ar-SA"/>
        </w:rPr>
        <w:t>I</w:t>
      </w:r>
      <w:r w:rsidRPr="000966B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Zakres zamówienia będzie obejmował również udostępnienie: </w:t>
      </w:r>
    </w:p>
    <w:p w:rsidR="007A5D77" w:rsidRPr="000966BE" w:rsidRDefault="007A5D77" w:rsidP="007A5D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>przestrzeni innych, tj. do wykorzystania na potrzeby rejestracji uczestników, szatnie;</w:t>
      </w:r>
    </w:p>
    <w:p w:rsidR="007A5D77" w:rsidRPr="000966BE" w:rsidRDefault="007A5D77" w:rsidP="007A5D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toalet damskich i męskich; </w:t>
      </w:r>
    </w:p>
    <w:p w:rsidR="007A5D77" w:rsidRPr="000966BE" w:rsidRDefault="007A5D77" w:rsidP="007A5D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66BE">
        <w:rPr>
          <w:rFonts w:ascii="Arial" w:eastAsia="Times New Roman" w:hAnsi="Arial" w:cs="Arial"/>
          <w:sz w:val="20"/>
          <w:szCs w:val="20"/>
          <w:lang w:eastAsia="ar-SA"/>
        </w:rPr>
        <w:t xml:space="preserve">przestrzeni i infrastruktury niezbędnej do przemieszczania się i komunikacji pomiędzy poszczególnymi powierzchniami wykorzystywanymi na potrzeby organizacji wydarzenia </w:t>
      </w:r>
      <w:r w:rsidRPr="000966BE">
        <w:rPr>
          <w:rFonts w:ascii="Arial" w:eastAsia="Times New Roman" w:hAnsi="Arial" w:cs="Arial"/>
          <w:sz w:val="20"/>
          <w:szCs w:val="20"/>
          <w:lang w:eastAsia="ar-SA"/>
        </w:rPr>
        <w:br/>
        <w:t>(tj. hole, korytarze, schody, windy).</w:t>
      </w:r>
    </w:p>
    <w:p w:rsidR="007A5D77" w:rsidRPr="007A5D77" w:rsidRDefault="007A5D77" w:rsidP="007A5D77">
      <w:pPr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7A5D77" w:rsidRPr="007A5D77" w:rsidRDefault="000966BE" w:rsidP="007A5D7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IV</w:t>
      </w:r>
      <w:r w:rsidRPr="007A5D7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7A5D77" w:rsidRPr="007A5D7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Termin realizacji i charakter wydarzenia: </w:t>
      </w:r>
    </w:p>
    <w:p w:rsidR="007A5D77" w:rsidRPr="007A5D77" w:rsidRDefault="007A5D77" w:rsidP="007A5D7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u w:val="single"/>
          <w:lang w:eastAsia="ar-SA"/>
        </w:rPr>
        <w:t>Termin: IV kwartał 2016 r.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>Wynajem powierzchni na 3 dni (montaż - I dnia od godziny 24:00, impreza dwudniowa, demontaż -</w:t>
      </w:r>
      <w:r w:rsidRPr="007A5D77">
        <w:rPr>
          <w:rFonts w:ascii="Arial" w:eastAsia="Times New Roman" w:hAnsi="Arial" w:cs="Arial"/>
          <w:sz w:val="20"/>
          <w:szCs w:val="20"/>
          <w:lang w:eastAsia="ar-SA"/>
        </w:rPr>
        <w:br/>
        <w:t>II dnia imprezy do godz. 23:59). Wykonawca musi zaproponować co najmniej dwa terminy przeprowadzenia wydarzenia, z których Zamawiający wybierze jeden.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Zamawiający planuje realizację wydarzenia w listopadzie 2016 r. Realizacja musi być zapewniona w dni robocze, w następujących dniach tygodnia: wtorek - montaż, środa i czwartek- realizacja wydarzenia, oraz w czwartek po zakończeniu wydarzenia - demontaż. 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>Przy planowaniu terminu realizacji Zamawiający nie dopuszcza terminów wypadających w tygodniach, w których przypadają święta stanowiące ustawowo dni wolne od pracy (01.11.2016 r. i 11.11.2016 r.).</w:t>
      </w:r>
    </w:p>
    <w:p w:rsidR="007A5D77" w:rsidRPr="007A5D77" w:rsidRDefault="007A5D77" w:rsidP="007A5D7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Zamawiający w ramach Forum zaplanował trzy główne elementy: konferencyjny, wystawienniczy oraz </w:t>
      </w:r>
      <w:proofErr w:type="spellStart"/>
      <w:r w:rsidRPr="007A5D77">
        <w:rPr>
          <w:rFonts w:ascii="Arial" w:eastAsia="Times New Roman" w:hAnsi="Arial" w:cs="Arial"/>
          <w:sz w:val="20"/>
          <w:szCs w:val="20"/>
          <w:lang w:eastAsia="ar-SA"/>
        </w:rPr>
        <w:t>networkingowy</w:t>
      </w:r>
      <w:proofErr w:type="spellEnd"/>
      <w:r w:rsidRPr="007A5D7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Ze względu na różną specyfikę obiektów, Zamawiający przyjmie układ dowolny do rozmieszczenia poszczególnych elementów adaptacji, tzn. strefy nie muszą znajdować się w jednym pomieszczeniu, tj. mogą zostać rozlokowane we </w:t>
      </w:r>
      <w:proofErr w:type="spellStart"/>
      <w:r w:rsidRPr="007A5D77">
        <w:rPr>
          <w:rFonts w:ascii="Arial" w:eastAsia="Times New Roman" w:hAnsi="Arial" w:cs="Arial"/>
          <w:sz w:val="20"/>
          <w:szCs w:val="20"/>
          <w:lang w:eastAsia="ar-SA"/>
        </w:rPr>
        <w:t>foyer</w:t>
      </w:r>
      <w:proofErr w:type="spellEnd"/>
      <w:r w:rsidRPr="007A5D77">
        <w:rPr>
          <w:rFonts w:ascii="Arial" w:eastAsia="Times New Roman" w:hAnsi="Arial" w:cs="Arial"/>
          <w:sz w:val="20"/>
          <w:szCs w:val="20"/>
          <w:lang w:eastAsia="ar-SA"/>
        </w:rPr>
        <w:t>, w holu głównym, w kuluarach, itp., natomiast muszą być na tym samym piętrze co sale/przestrzeń konferencyjna, w bezpośrednim jej sąsiedztwie. Zamawiający dopuszcza żeby to pomieszczenie znajdowało się na innym piętrze niż główne elementy wydarzenia. Wszystkie przestrzenie zapewnione przez Wykonawcę muszą znajdować się w jednym budynku i zapewniać swobodną komunikację pomiędzy poszczególnymi elementami i strefami aranżacji.</w:t>
      </w:r>
    </w:p>
    <w:p w:rsidR="007A5D77" w:rsidRPr="007A5D77" w:rsidRDefault="007A5D77" w:rsidP="007A5D7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IV Usługi i informacje dodatkowe: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>W kosztach wynajmu Wykonawca musi uwzględnić na wszystkie 3 dni wydarzenia wszelkie koszty w koszty związane z:</w:t>
      </w:r>
    </w:p>
    <w:p w:rsidR="007A5D77" w:rsidRPr="007A5D77" w:rsidRDefault="007A5D77" w:rsidP="007A5D77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obsługą sprzątającą (w tym zapewnienie w szczególności: papieru toaletowego, mydła w płynie, ręczników papierowych, worków na śmieci, środków czystości oraz sprzętu i obsługę osobową do sprzątania), </w:t>
      </w:r>
    </w:p>
    <w:p w:rsidR="007A5D77" w:rsidRPr="007A5D77" w:rsidRDefault="007A5D77" w:rsidP="007A5D77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użytkowaniem mediów (woda i prąd), </w:t>
      </w:r>
    </w:p>
    <w:p w:rsidR="007A5D77" w:rsidRPr="007A5D77" w:rsidRDefault="007A5D77" w:rsidP="007A5D77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ogrzewaniem, obsługą strażaka (p.poż.), </w:t>
      </w:r>
    </w:p>
    <w:p w:rsidR="007A5D77" w:rsidRPr="007A5D77" w:rsidRDefault="007A5D77" w:rsidP="007A5D77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obsługą techniczną elektryka, </w:t>
      </w:r>
    </w:p>
    <w:p w:rsidR="007A5D77" w:rsidRPr="007A5D77" w:rsidRDefault="007A5D77" w:rsidP="007A5D77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 xml:space="preserve">wywozem śmieci, ochroną. 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Parking</w:t>
      </w:r>
    </w:p>
    <w:p w:rsidR="007A5D77" w:rsidRPr="007A5D77" w:rsidRDefault="007A5D77" w:rsidP="007A5D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A5D77">
        <w:rPr>
          <w:rFonts w:ascii="Arial" w:eastAsia="Calibri" w:hAnsi="Arial" w:cs="Arial"/>
          <w:sz w:val="20"/>
          <w:szCs w:val="20"/>
          <w:lang w:eastAsia="ar-SA"/>
        </w:rPr>
        <w:t>W ramach oferty Wykonawca zapewni minimum 50 bezpłatnych miejsc parkingowych, zadaszon</w:t>
      </w:r>
      <w:r w:rsidR="00176FB7">
        <w:rPr>
          <w:rFonts w:ascii="Arial" w:eastAsia="Calibri" w:hAnsi="Arial" w:cs="Arial"/>
          <w:sz w:val="20"/>
          <w:szCs w:val="20"/>
          <w:lang w:eastAsia="ar-SA"/>
        </w:rPr>
        <w:t>ych</w:t>
      </w:r>
      <w:r w:rsidRPr="007A5D77">
        <w:rPr>
          <w:rFonts w:ascii="Arial" w:eastAsia="Calibri" w:hAnsi="Arial" w:cs="Arial"/>
          <w:sz w:val="20"/>
          <w:szCs w:val="20"/>
          <w:lang w:eastAsia="ar-SA"/>
        </w:rPr>
        <w:t xml:space="preserve"> lub znajdować się na parkingu podziemnym. Miejsca parkingowe muszą znajdować się na terenie obiektu lub na terenie do niego przylegającymi muszą być wcześniej zarezerwowane przez Wykonawcę i wskazane Zamawiającemu jako miejsca dedykowane dla przedstawicieli Zamawiającego. Informacja o formie korzystania z ww. miejsc parkingowych (tj. identyfikowanie osób upoważnionych do korzystania z nich) musi zostać przekazana Zamawiającemu przez Wykonawcę </w:t>
      </w:r>
      <w:r w:rsidRPr="007A5D77">
        <w:rPr>
          <w:rFonts w:ascii="Arial" w:eastAsia="Calibri" w:hAnsi="Arial" w:cs="Arial"/>
          <w:sz w:val="20"/>
          <w:szCs w:val="20"/>
          <w:lang w:eastAsia="ar-SA"/>
        </w:rPr>
        <w:lastRenderedPageBreak/>
        <w:t xml:space="preserve">niezwłocznie po podpisaniu umowy. Zamawiający preferuje wjazd na ustalone pomiędzy Zamawiającym i Wykonawców hasło. 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Catering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>Zamawiający planuje organizację cateringu (poczęstunek ciągły, bufet szwedzki przez dwa dni) w wydzielonym pomieszczeniu/ przestrzeni dla minimum 200, a maksymalnie 400 osób wskazanych przez Zamawiającego (posiadający identyfikatory uprawniające do korzystania) podczas trwania dwóch dni wydarzenia.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5D77">
        <w:rPr>
          <w:rFonts w:ascii="Arial" w:eastAsia="Times New Roman" w:hAnsi="Arial" w:cs="Arial"/>
          <w:sz w:val="20"/>
          <w:szCs w:val="20"/>
          <w:lang w:eastAsia="ar-SA"/>
        </w:rPr>
        <w:t>Usługa cateringowa realizowana będzie niezależnie od tego zamówienia, a jej koszty poniesie Zamawiający.</w:t>
      </w:r>
    </w:p>
    <w:p w:rsidR="007A5D77" w:rsidRPr="007A5D77" w:rsidRDefault="007A5D77" w:rsidP="007A5D7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46D9C" w:rsidRDefault="00046D9C"/>
    <w:sectPr w:rsidR="00046D9C" w:rsidSect="00B64F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69" w:rsidRDefault="00632B69" w:rsidP="004830A8">
      <w:pPr>
        <w:spacing w:after="0" w:line="240" w:lineRule="auto"/>
      </w:pPr>
      <w:r>
        <w:separator/>
      </w:r>
    </w:p>
  </w:endnote>
  <w:endnote w:type="continuationSeparator" w:id="0">
    <w:p w:rsidR="00632B69" w:rsidRDefault="00632B69" w:rsidP="0048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504276"/>
      <w:docPartObj>
        <w:docPartGallery w:val="Page Numbers (Bottom of Page)"/>
        <w:docPartUnique/>
      </w:docPartObj>
    </w:sdtPr>
    <w:sdtEndPr/>
    <w:sdtContent>
      <w:p w:rsidR="004830A8" w:rsidRDefault="004830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E97">
          <w:rPr>
            <w:noProof/>
          </w:rPr>
          <w:t>4</w:t>
        </w:r>
        <w:r>
          <w:fldChar w:fldCharType="end"/>
        </w:r>
      </w:p>
    </w:sdtContent>
  </w:sdt>
  <w:p w:rsidR="004830A8" w:rsidRDefault="00483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69" w:rsidRDefault="00632B69" w:rsidP="004830A8">
      <w:pPr>
        <w:spacing w:after="0" w:line="240" w:lineRule="auto"/>
      </w:pPr>
      <w:r>
        <w:separator/>
      </w:r>
    </w:p>
  </w:footnote>
  <w:footnote w:type="continuationSeparator" w:id="0">
    <w:p w:rsidR="00632B69" w:rsidRDefault="00632B69" w:rsidP="00483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30"/>
    <w:multiLevelType w:val="hybridMultilevel"/>
    <w:tmpl w:val="908853DE"/>
    <w:lvl w:ilvl="0" w:tplc="B0FC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7516"/>
    <w:multiLevelType w:val="hybridMultilevel"/>
    <w:tmpl w:val="5A2001F8"/>
    <w:lvl w:ilvl="0" w:tplc="B0FC55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562DC7"/>
    <w:multiLevelType w:val="hybridMultilevel"/>
    <w:tmpl w:val="AA04D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23260"/>
    <w:multiLevelType w:val="hybridMultilevel"/>
    <w:tmpl w:val="9C947B7C"/>
    <w:lvl w:ilvl="0" w:tplc="B0FC55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01F23DB"/>
    <w:multiLevelType w:val="hybridMultilevel"/>
    <w:tmpl w:val="6EDA05F2"/>
    <w:lvl w:ilvl="0" w:tplc="B0FC55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068BE78">
      <w:numFmt w:val="bullet"/>
      <w:lvlText w:val=""/>
      <w:lvlJc w:val="left"/>
      <w:pPr>
        <w:ind w:left="1724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4FD0E5A"/>
    <w:multiLevelType w:val="hybridMultilevel"/>
    <w:tmpl w:val="7478AC10"/>
    <w:lvl w:ilvl="0" w:tplc="41164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7243E3"/>
    <w:multiLevelType w:val="hybridMultilevel"/>
    <w:tmpl w:val="C486E38A"/>
    <w:lvl w:ilvl="0" w:tplc="B0FC55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77"/>
    <w:rsid w:val="00025B11"/>
    <w:rsid w:val="00046D9C"/>
    <w:rsid w:val="000966BE"/>
    <w:rsid w:val="00176FB7"/>
    <w:rsid w:val="004830A8"/>
    <w:rsid w:val="00520E97"/>
    <w:rsid w:val="00632B69"/>
    <w:rsid w:val="007A5D77"/>
    <w:rsid w:val="00943D2D"/>
    <w:rsid w:val="00B64FC9"/>
    <w:rsid w:val="00D91A93"/>
    <w:rsid w:val="00E0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D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A8"/>
  </w:style>
  <w:style w:type="paragraph" w:styleId="Stopka">
    <w:name w:val="footer"/>
    <w:basedOn w:val="Normalny"/>
    <w:link w:val="StopkaZnak"/>
    <w:uiPriority w:val="99"/>
    <w:unhideWhenUsed/>
    <w:rsid w:val="0048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D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A8"/>
  </w:style>
  <w:style w:type="paragraph" w:styleId="Stopka">
    <w:name w:val="footer"/>
    <w:basedOn w:val="Normalny"/>
    <w:link w:val="StopkaZnak"/>
    <w:uiPriority w:val="99"/>
    <w:unhideWhenUsed/>
    <w:rsid w:val="0048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ps.goog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ge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Tomkiewicz</dc:creator>
  <cp:lastModifiedBy>Elżbieta Tomkiewicz</cp:lastModifiedBy>
  <cp:revision>2</cp:revision>
  <dcterms:created xsi:type="dcterms:W3CDTF">2016-06-10T11:49:00Z</dcterms:created>
  <dcterms:modified xsi:type="dcterms:W3CDTF">2016-06-10T11:49:00Z</dcterms:modified>
</cp:coreProperties>
</file>