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D1" w:rsidRDefault="00FE28D1" w:rsidP="00FE28D1">
      <w:pPr>
        <w:pStyle w:val="Nagwek"/>
        <w:jc w:val="center"/>
      </w:pPr>
      <w:r>
        <w:rPr>
          <w:noProof/>
          <w:lang w:eastAsia="pl-PL"/>
        </w:rPr>
        <w:drawing>
          <wp:inline distT="0" distB="0" distL="0" distR="0" wp14:anchorId="37B59762" wp14:editId="4C7D49B1">
            <wp:extent cx="5760720" cy="54673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FLAGA RP+MAZOWSZE+EFS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F7C">
        <w:rPr>
          <w:rFonts w:ascii="Calibri" w:hAnsi="Calibri" w:cs="Calibri"/>
          <w:color w:val="000000"/>
          <w:sz w:val="18"/>
          <w:szCs w:val="18"/>
          <w:u w:val="single"/>
        </w:rPr>
        <w:t>Wydatek współfinansowany z Europejskiego Funduszu Społecznego</w:t>
      </w:r>
    </w:p>
    <w:p w:rsidR="00FE28D1" w:rsidRDefault="00FE28D1" w:rsidP="00FE28D1">
      <w:pPr>
        <w:pStyle w:val="Nagwek"/>
        <w:tabs>
          <w:tab w:val="center" w:leader="underscore" w:pos="4536"/>
          <w:tab w:val="right" w:leader="underscore" w:pos="9072"/>
        </w:tabs>
      </w:pPr>
      <w:r>
        <w:rPr>
          <w:noProof/>
          <w:lang w:eastAsia="pl-PL"/>
        </w:rPr>
        <w:drawing>
          <wp:inline distT="0" distB="0" distL="0" distR="0" wp14:anchorId="7D80E2E3" wp14:editId="548D2BA1">
            <wp:extent cx="5753100" cy="5905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_PIF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956" w:rsidRDefault="00DD2956" w:rsidP="00FE28D1">
      <w:pPr>
        <w:pStyle w:val="paragraph"/>
        <w:spacing w:line="360" w:lineRule="auto"/>
        <w:textAlignment w:val="baseline"/>
        <w:rPr>
          <w:rStyle w:val="normaltextrun1"/>
          <w:rFonts w:asciiTheme="minorHAnsi" w:hAnsiTheme="minorHAnsi"/>
          <w:b/>
          <w:sz w:val="20"/>
          <w:szCs w:val="20"/>
        </w:rPr>
      </w:pPr>
    </w:p>
    <w:p w:rsidR="001374D2" w:rsidRPr="00DD2956" w:rsidRDefault="00BE0019" w:rsidP="00BE0019">
      <w:pPr>
        <w:pStyle w:val="paragraph"/>
        <w:spacing w:line="360" w:lineRule="auto"/>
        <w:ind w:left="720"/>
        <w:textAlignment w:val="baseline"/>
        <w:rPr>
          <w:rStyle w:val="normaltextrun1"/>
          <w:rFonts w:asciiTheme="minorHAnsi" w:hAnsiTheme="minorHAnsi"/>
          <w:b/>
          <w:sz w:val="20"/>
          <w:szCs w:val="20"/>
        </w:rPr>
      </w:pPr>
      <w:r w:rsidRPr="00DD2956">
        <w:rPr>
          <w:rStyle w:val="normaltextrun1"/>
          <w:rFonts w:asciiTheme="minorHAnsi" w:hAnsiTheme="minorHAnsi"/>
          <w:b/>
          <w:sz w:val="20"/>
          <w:szCs w:val="20"/>
        </w:rPr>
        <w:t>Warunki równoważności dotyczące znaków towarowych wskazanych w treści Umowy i załączników</w:t>
      </w:r>
    </w:p>
    <w:p w:rsidR="00BE0019" w:rsidRPr="00FE28D1" w:rsidRDefault="00BE0019" w:rsidP="00BE0019">
      <w:pPr>
        <w:pStyle w:val="paragraph"/>
        <w:spacing w:line="360" w:lineRule="auto"/>
        <w:textAlignment w:val="baseline"/>
        <w:rPr>
          <w:rStyle w:val="normaltextrun1"/>
          <w:rFonts w:asciiTheme="minorHAnsi" w:hAnsiTheme="minorHAnsi"/>
          <w:sz w:val="20"/>
          <w:szCs w:val="20"/>
        </w:rPr>
      </w:pPr>
    </w:p>
    <w:p w:rsidR="001374D2" w:rsidRPr="00FE28D1" w:rsidRDefault="00FE28D1" w:rsidP="00704267">
      <w:pPr>
        <w:pStyle w:val="paragraph"/>
        <w:numPr>
          <w:ilvl w:val="0"/>
          <w:numId w:val="1"/>
        </w:numPr>
        <w:spacing w:line="360" w:lineRule="auto"/>
        <w:textAlignment w:val="baseline"/>
        <w:rPr>
          <w:rFonts w:asciiTheme="minorHAnsi" w:hAnsiTheme="minorHAnsi"/>
          <w:b/>
          <w:sz w:val="20"/>
          <w:szCs w:val="20"/>
        </w:rPr>
      </w:pPr>
      <w:r w:rsidRPr="00FE28D1">
        <w:rPr>
          <w:rStyle w:val="normaltextrun1"/>
          <w:rFonts w:asciiTheme="minorHAnsi" w:hAnsiTheme="minorHAnsi"/>
          <w:sz w:val="20"/>
          <w:szCs w:val="20"/>
        </w:rPr>
        <w:t>Active Directory</w:t>
      </w:r>
      <w:r>
        <w:rPr>
          <w:rStyle w:val="normaltextrun1"/>
          <w:rFonts w:asciiTheme="minorHAnsi" w:hAnsiTheme="minorHAnsi"/>
          <w:b/>
          <w:sz w:val="20"/>
          <w:szCs w:val="20"/>
        </w:rPr>
        <w:t xml:space="preserve"> - </w:t>
      </w:r>
      <w:r>
        <w:rPr>
          <w:rStyle w:val="normaltextrun1"/>
          <w:rFonts w:asciiTheme="minorHAnsi" w:hAnsiTheme="minorHAnsi"/>
          <w:sz w:val="20"/>
          <w:szCs w:val="20"/>
        </w:rPr>
        <w:t>s</w:t>
      </w:r>
      <w:r w:rsidR="001374D2" w:rsidRPr="00FE28D1">
        <w:rPr>
          <w:rStyle w:val="normaltextrun1"/>
          <w:rFonts w:asciiTheme="minorHAnsi" w:hAnsiTheme="minorHAnsi"/>
          <w:sz w:val="20"/>
          <w:szCs w:val="20"/>
        </w:rPr>
        <w:t>ystem równoważny do Active Directory musi spełniać następujące wymagania:</w:t>
      </w:r>
      <w:r w:rsidR="001374D2"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4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umożliwiać scentralizowane zarządzanie obiektami (serwery, drukarki czy udostępnione pliki), a także przypisywać uprawnienia do tychże zasobów,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4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 xml:space="preserve">umożliwiać uwierzytelnienie obiektów (np. użytkowników, komputerów), i </w:t>
      </w:r>
      <w:r w:rsidRPr="00BE0019">
        <w:rPr>
          <w:rStyle w:val="spellingerror"/>
          <w:rFonts w:asciiTheme="minorHAnsi" w:hAnsiTheme="minorHAnsi"/>
          <w:sz w:val="20"/>
          <w:szCs w:val="20"/>
        </w:rPr>
        <w:t>autoryz</w:t>
      </w:r>
      <w:r w:rsidR="006601CE">
        <w:rPr>
          <w:rStyle w:val="spellingerror"/>
          <w:rFonts w:asciiTheme="minorHAnsi" w:hAnsiTheme="minorHAnsi"/>
          <w:sz w:val="20"/>
          <w:szCs w:val="20"/>
        </w:rPr>
        <w:t>ow</w:t>
      </w:r>
      <w:bookmarkStart w:id="0" w:name="_GoBack"/>
      <w:bookmarkEnd w:id="0"/>
      <w:r w:rsidRPr="00BE0019">
        <w:rPr>
          <w:rStyle w:val="spellingerror"/>
          <w:rFonts w:asciiTheme="minorHAnsi" w:hAnsiTheme="minorHAnsi"/>
          <w:sz w:val="20"/>
          <w:szCs w:val="20"/>
        </w:rPr>
        <w:t>ać</w:t>
      </w:r>
      <w:r w:rsidRPr="00BE0019">
        <w:rPr>
          <w:rStyle w:val="normaltextrun1"/>
          <w:rFonts w:asciiTheme="minorHAnsi" w:hAnsiTheme="minorHAnsi"/>
          <w:sz w:val="20"/>
          <w:szCs w:val="20"/>
        </w:rPr>
        <w:t xml:space="preserve"> (lub jej odmowa) dostęp do innych obiektów  (dowolnych, np. kontenera lub obiektu użytkownika) oraz do zasobów innych, w tym dyskowych, sieciowych oraz aplikacji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4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umożliwiać konfigurację obiektów 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4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umożliwiać działania w rozproszonych sieciach,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4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umożliwiać konfigurację za pomocą narzędzi graficznych i z linii komend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FE28D1" w:rsidRDefault="001374D2" w:rsidP="00704267">
      <w:pPr>
        <w:pStyle w:val="paragraph"/>
        <w:numPr>
          <w:ilvl w:val="1"/>
          <w:numId w:val="4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umożliwiać tworzenie skryptów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FE28D1" w:rsidRDefault="001374D2" w:rsidP="00704267">
      <w:pPr>
        <w:pStyle w:val="paragraph"/>
        <w:numPr>
          <w:ilvl w:val="1"/>
          <w:numId w:val="4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FE28D1">
        <w:rPr>
          <w:rStyle w:val="normaltextrun1"/>
          <w:rFonts w:asciiTheme="minorHAnsi" w:hAnsiTheme="minorHAnsi"/>
          <w:sz w:val="20"/>
          <w:szCs w:val="20"/>
        </w:rPr>
        <w:t>Obiekty</w:t>
      </w:r>
      <w:r w:rsidR="00FE28D1">
        <w:rPr>
          <w:rStyle w:val="normaltextrun1"/>
          <w:rFonts w:asciiTheme="minorHAnsi" w:hAnsiTheme="minorHAnsi"/>
          <w:sz w:val="20"/>
          <w:szCs w:val="20"/>
        </w:rPr>
        <w:t>:</w:t>
      </w:r>
      <w:r w:rsidRPr="00FE28D1">
        <w:rPr>
          <w:rStyle w:val="normaltextrun1"/>
          <w:rFonts w:asciiTheme="minorHAnsi" w:hAnsiTheme="minorHAnsi"/>
          <w:sz w:val="20"/>
          <w:szCs w:val="20"/>
        </w:rPr>
        <w:t> </w:t>
      </w:r>
      <w:r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5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Konto użytkownika – obiekt zawierający informacje o użytkowniku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5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Kontakt – obiekt zawierający informacje kontaktowe użytkowników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5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Komputer – obiekt zawierający informacje o komputerze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5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Drukarka – obiekt zawierający odniesienie (wskaźnik) do drukarek sieciowych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5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Udział sieciowy –  obiekt zawierający odniesienie do udostępnionych folderów w sieci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5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Grupa – obiekt zawierający kolekcję innych obiektów, stosowany do zarządzania uprawnieniami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5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Jednostka organizacyjna – obiekt administracyjny obejmujący inne obiekty, stasowany do zarządzania konfiguracją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5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Domena  – podstawowa struktura w ramach której zdefiniowane są pozostałe obiekty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5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Kontroler Domeny – obiekt zawierający informację o serwerze pełniącym funkcję kontrolera 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5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Lokalizacja (Site) – obiekt zawierający informację o podsieciach w danej lokalizacji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5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proofErr w:type="spellStart"/>
      <w:r w:rsidRPr="00BE0019">
        <w:rPr>
          <w:rStyle w:val="spellingerror"/>
          <w:rFonts w:asciiTheme="minorHAnsi" w:hAnsiTheme="minorHAnsi"/>
          <w:sz w:val="20"/>
          <w:szCs w:val="20"/>
        </w:rPr>
        <w:t>Builtin</w:t>
      </w:r>
      <w:proofErr w:type="spellEnd"/>
      <w:r w:rsidRPr="00BE0019">
        <w:rPr>
          <w:rStyle w:val="normaltextrun1"/>
          <w:rFonts w:asciiTheme="minorHAnsi" w:hAnsiTheme="minorHAnsi"/>
          <w:sz w:val="20"/>
          <w:szCs w:val="20"/>
        </w:rPr>
        <w:t xml:space="preserve"> – grupy o predefiniowanych uprawnieniach do wykonywania czynności administracyjnych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5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Relacja zaufania – obiekt zawierający informację o rel</w:t>
      </w:r>
      <w:r w:rsidR="00BE0019" w:rsidRPr="00BE0019">
        <w:rPr>
          <w:rStyle w:val="normaltextrun1"/>
          <w:rFonts w:asciiTheme="minorHAnsi" w:hAnsiTheme="minorHAnsi"/>
          <w:sz w:val="20"/>
          <w:szCs w:val="20"/>
        </w:rPr>
        <w:t>acjach zaufania pomiędzy domenami</w:t>
      </w:r>
    </w:p>
    <w:p w:rsidR="00524C4F" w:rsidRPr="00BE0019" w:rsidRDefault="00524C4F" w:rsidP="00BE0019">
      <w:pPr>
        <w:spacing w:line="360" w:lineRule="auto"/>
        <w:rPr>
          <w:sz w:val="20"/>
          <w:szCs w:val="20"/>
        </w:rPr>
      </w:pPr>
    </w:p>
    <w:p w:rsidR="001374D2" w:rsidRPr="00FE28D1" w:rsidRDefault="00BE0019" w:rsidP="00704267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E0019">
        <w:rPr>
          <w:rFonts w:eastAsia="Times New Roman" w:cs="Times New Roman"/>
          <w:sz w:val="20"/>
          <w:szCs w:val="20"/>
          <w:lang w:eastAsia="pl-PL"/>
        </w:rPr>
        <w:t>Windows Server 2012</w:t>
      </w:r>
      <w:r w:rsidR="00FE28D1">
        <w:rPr>
          <w:rFonts w:eastAsia="Times New Roman" w:cs="Times New Roman"/>
          <w:sz w:val="20"/>
          <w:szCs w:val="20"/>
          <w:lang w:eastAsia="pl-PL"/>
        </w:rPr>
        <w:t xml:space="preserve"> - s</w:t>
      </w:r>
      <w:r w:rsidR="001374D2" w:rsidRPr="00FE28D1">
        <w:rPr>
          <w:rFonts w:eastAsia="Times New Roman" w:cs="Times New Roman"/>
          <w:sz w:val="20"/>
          <w:szCs w:val="20"/>
          <w:lang w:eastAsia="pl-PL"/>
        </w:rPr>
        <w:t>ystem równoważny do Windows Server 2012 musi spełniać następujące wymagania: </w:t>
      </w:r>
    </w:p>
    <w:p w:rsidR="001374D2" w:rsidRPr="00BE0019" w:rsidRDefault="001374D2" w:rsidP="00704267">
      <w:pPr>
        <w:pStyle w:val="Akapitzlist"/>
        <w:numPr>
          <w:ilvl w:val="0"/>
          <w:numId w:val="2"/>
        </w:numPr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BE0019">
        <w:rPr>
          <w:rFonts w:eastAsia="Times New Roman" w:cs="Times New Roman"/>
          <w:sz w:val="20"/>
          <w:szCs w:val="20"/>
          <w:lang w:eastAsia="pl-PL"/>
        </w:rPr>
        <w:lastRenderedPageBreak/>
        <w:t>- wirtualizacja serwerów: konsolidacja serwerów, jako maszyny wirtualne, na jednym hoście; pozwalać na uruchomienie, na jednym serwerze fizycznym, różnych systemów operacyjnych; </w:t>
      </w:r>
    </w:p>
    <w:p w:rsidR="001374D2" w:rsidRPr="00BE0019" w:rsidRDefault="001374D2" w:rsidP="00704267">
      <w:pPr>
        <w:pStyle w:val="Akapitzlist"/>
        <w:numPr>
          <w:ilvl w:val="0"/>
          <w:numId w:val="2"/>
        </w:numPr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BE0019">
        <w:rPr>
          <w:rFonts w:eastAsia="Times New Roman" w:cs="Times New Roman"/>
          <w:sz w:val="20"/>
          <w:szCs w:val="20"/>
          <w:lang w:eastAsia="pl-PL"/>
        </w:rPr>
        <w:t>- pamięć masowa: skalowalne, wysokowydajne i wysokodostępne rozwiązania pamięci masowych (oprogramowanie plus standardowy sprzęt); </w:t>
      </w:r>
    </w:p>
    <w:p w:rsidR="001374D2" w:rsidRPr="00BE0019" w:rsidRDefault="001374D2" w:rsidP="00704267">
      <w:pPr>
        <w:pStyle w:val="Akapitzlist"/>
        <w:numPr>
          <w:ilvl w:val="0"/>
          <w:numId w:val="2"/>
        </w:numPr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BE0019">
        <w:rPr>
          <w:rFonts w:eastAsia="Times New Roman" w:cs="Times New Roman"/>
          <w:sz w:val="20"/>
          <w:szCs w:val="20"/>
          <w:lang w:eastAsia="pl-PL"/>
        </w:rPr>
        <w:t>- sieć: zarządzanie siecią jak jednym serwerem; automatyczne przekierowanie transmisji danych uodparnia usługi plikowe na awarie serwerów, pamięci masowych i sieci; </w:t>
      </w:r>
    </w:p>
    <w:p w:rsidR="001374D2" w:rsidRPr="00BE0019" w:rsidRDefault="001374D2" w:rsidP="00704267">
      <w:pPr>
        <w:pStyle w:val="Akapitzlist"/>
        <w:numPr>
          <w:ilvl w:val="0"/>
          <w:numId w:val="2"/>
        </w:numPr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BE0019">
        <w:rPr>
          <w:rFonts w:eastAsia="Times New Roman" w:cs="Times New Roman"/>
          <w:sz w:val="20"/>
          <w:szCs w:val="20"/>
          <w:lang w:eastAsia="pl-PL"/>
        </w:rPr>
        <w:t>- zarządzanie serwerami i automatyzacja: wspólna platforma automatyzacji integracji narzędzi i bibliotek do zarządzania systemem operacyjnym i aplikacjami; </w:t>
      </w:r>
    </w:p>
    <w:p w:rsidR="001374D2" w:rsidRPr="00BE0019" w:rsidRDefault="001374D2" w:rsidP="00704267">
      <w:pPr>
        <w:pStyle w:val="Akapitzlist"/>
        <w:numPr>
          <w:ilvl w:val="0"/>
          <w:numId w:val="2"/>
        </w:numPr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BE0019">
        <w:rPr>
          <w:rFonts w:eastAsia="Times New Roman" w:cs="Times New Roman"/>
          <w:sz w:val="20"/>
          <w:szCs w:val="20"/>
          <w:lang w:eastAsia="pl-PL"/>
        </w:rPr>
        <w:t>- platforma sieci web i aplikacji: możliwość tworzenia i wdrażania aplikacji lokalnie lub w chmurze, lub w obydwu środowiskach jednocześnie; </w:t>
      </w:r>
    </w:p>
    <w:p w:rsidR="001374D2" w:rsidRPr="00BE0019" w:rsidRDefault="001374D2" w:rsidP="00704267">
      <w:pPr>
        <w:pStyle w:val="Akapitzlist"/>
        <w:numPr>
          <w:ilvl w:val="0"/>
          <w:numId w:val="2"/>
        </w:numPr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BE0019">
        <w:rPr>
          <w:rFonts w:eastAsia="Times New Roman" w:cs="Times New Roman"/>
          <w:sz w:val="20"/>
          <w:szCs w:val="20"/>
          <w:lang w:eastAsia="pl-PL"/>
        </w:rPr>
        <w:t>- zarządzanie dostępem i ochrona informacji: zarządzanie tożsamościami użytkowników lokalnie i w chmurze; </w:t>
      </w:r>
    </w:p>
    <w:p w:rsidR="001374D2" w:rsidRPr="00BE0019" w:rsidRDefault="001374D2" w:rsidP="00704267">
      <w:pPr>
        <w:pStyle w:val="Akapitzlist"/>
        <w:numPr>
          <w:ilvl w:val="0"/>
          <w:numId w:val="2"/>
        </w:numPr>
        <w:spacing w:after="0" w:line="360" w:lineRule="auto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BE0019">
        <w:rPr>
          <w:rFonts w:eastAsia="Times New Roman" w:cs="Times New Roman"/>
          <w:sz w:val="20"/>
          <w:szCs w:val="20"/>
          <w:lang w:eastAsia="pl-PL"/>
        </w:rPr>
        <w:t>- infrastruktura pulpitu wirtualnego: wdrażanie i dostarczanie wirtualnych zasobów na różne urządzenia. </w:t>
      </w:r>
    </w:p>
    <w:p w:rsidR="001374D2" w:rsidRPr="00BE0019" w:rsidRDefault="001374D2" w:rsidP="00BE0019">
      <w:pPr>
        <w:spacing w:line="360" w:lineRule="auto"/>
        <w:rPr>
          <w:sz w:val="20"/>
          <w:szCs w:val="20"/>
        </w:rPr>
      </w:pPr>
    </w:p>
    <w:p w:rsidR="001374D2" w:rsidRPr="00FE28D1" w:rsidRDefault="00BE0019" w:rsidP="00704267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E0019">
        <w:rPr>
          <w:rStyle w:val="normaltextrun1"/>
          <w:sz w:val="20"/>
          <w:szCs w:val="20"/>
        </w:rPr>
        <w:t>Exchange 2013</w:t>
      </w:r>
      <w:r w:rsidR="00FE28D1">
        <w:rPr>
          <w:rStyle w:val="normaltextrun1"/>
          <w:sz w:val="20"/>
          <w:szCs w:val="20"/>
        </w:rPr>
        <w:t xml:space="preserve"> - s</w:t>
      </w:r>
      <w:r w:rsidR="001374D2" w:rsidRPr="00FE28D1">
        <w:rPr>
          <w:rStyle w:val="normaltextrun1"/>
          <w:sz w:val="20"/>
          <w:szCs w:val="20"/>
        </w:rPr>
        <w:t>ystem równoważny do Exchange 2013 musi spełniać następujące wymagania:</w:t>
      </w:r>
      <w:r w:rsidR="001374D2" w:rsidRPr="00FE28D1">
        <w:rPr>
          <w:rStyle w:val="eop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3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Zapewniać dostęp do poczty i kalendarzy z wielu komputerów i urządzeń mobilnych jednocześnie 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3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Pomagać chronić komunikację biznesową oraz poufne informacje przed ujawnieniem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3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Możliwość integracji z mechanizmami, które zabezpieczają przed przypadkowym lub celowym wysłaniem wrażliwych i poufnych danych,  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3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Posiadać mechanizmy archiwizacji danych. 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1"/>
          <w:numId w:val="3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Posiadać funkcję która umożliwia zbieranie i analizowanie informacji przechowywanych na poczcie elektronicznej w jednym miejscu na potrzeby zapewnienia zgodności z wewnętrznymi regulacjami, przepisami prawa oraz działań podejmowanych w ramach informatyki śledczej.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Default="001374D2" w:rsidP="00704267">
      <w:pPr>
        <w:pStyle w:val="paragraph"/>
        <w:numPr>
          <w:ilvl w:val="1"/>
          <w:numId w:val="3"/>
        </w:numPr>
        <w:spacing w:line="360" w:lineRule="auto"/>
        <w:textAlignment w:val="baseline"/>
        <w:rPr>
          <w:rStyle w:val="normaltextrun1"/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sz w:val="20"/>
          <w:szCs w:val="20"/>
        </w:rPr>
        <w:t>Umożliwić dostęp do poczty za pomocą klasycznych klientów poczty przez protokoły SMTP/IMAP/POP3.</w:t>
      </w:r>
    </w:p>
    <w:p w:rsidR="00FE28D1" w:rsidRPr="00FE28D1" w:rsidRDefault="00FE28D1" w:rsidP="00FE28D1">
      <w:pPr>
        <w:pStyle w:val="paragraph"/>
        <w:spacing w:line="360" w:lineRule="auto"/>
        <w:ind w:left="1069"/>
        <w:textAlignment w:val="baseline"/>
        <w:rPr>
          <w:rFonts w:asciiTheme="minorHAnsi" w:hAnsiTheme="minorHAnsi"/>
          <w:sz w:val="20"/>
          <w:szCs w:val="20"/>
        </w:rPr>
      </w:pPr>
    </w:p>
    <w:p w:rsidR="001374D2" w:rsidRPr="00FE28D1" w:rsidRDefault="00BE0019" w:rsidP="00704267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E0019">
        <w:rPr>
          <w:rStyle w:val="normaltextrun1"/>
          <w:rFonts w:cs="Arial"/>
          <w:sz w:val="20"/>
          <w:szCs w:val="20"/>
        </w:rPr>
        <w:t xml:space="preserve">Microsoft </w:t>
      </w:r>
      <w:proofErr w:type="spellStart"/>
      <w:r w:rsidRPr="00BE0019">
        <w:rPr>
          <w:rStyle w:val="spellingerror"/>
          <w:rFonts w:cs="Arial"/>
          <w:sz w:val="20"/>
          <w:szCs w:val="20"/>
        </w:rPr>
        <w:t>Certified</w:t>
      </w:r>
      <w:proofErr w:type="spellEnd"/>
      <w:r w:rsidRPr="00BE0019">
        <w:rPr>
          <w:rStyle w:val="normaltextrun1"/>
          <w:rFonts w:cs="Arial"/>
          <w:sz w:val="20"/>
          <w:szCs w:val="20"/>
        </w:rPr>
        <w:t xml:space="preserve"> Solutions </w:t>
      </w:r>
      <w:proofErr w:type="spellStart"/>
      <w:r w:rsidRPr="00BE0019">
        <w:rPr>
          <w:rStyle w:val="spellingerror"/>
          <w:rFonts w:cs="Arial"/>
          <w:sz w:val="20"/>
          <w:szCs w:val="20"/>
        </w:rPr>
        <w:t>Associate</w:t>
      </w:r>
      <w:proofErr w:type="spellEnd"/>
      <w:r w:rsidRPr="00BE0019">
        <w:rPr>
          <w:rStyle w:val="normaltextrun1"/>
          <w:rFonts w:cs="Arial"/>
          <w:sz w:val="20"/>
          <w:szCs w:val="20"/>
        </w:rPr>
        <w:t xml:space="preserve"> Windows 2012 Server</w:t>
      </w:r>
      <w:r w:rsidR="00FE28D1">
        <w:rPr>
          <w:rStyle w:val="normaltextrun1"/>
          <w:rFonts w:cs="Arial"/>
          <w:sz w:val="20"/>
          <w:szCs w:val="20"/>
        </w:rPr>
        <w:t xml:space="preserve"> - z</w:t>
      </w:r>
      <w:r w:rsidR="001374D2" w:rsidRPr="00FE28D1">
        <w:rPr>
          <w:rStyle w:val="normaltextrun1"/>
          <w:rFonts w:cs="Arial"/>
          <w:sz w:val="20"/>
          <w:szCs w:val="20"/>
        </w:rPr>
        <w:t xml:space="preserve">a certyfikat równoważny do Microsoft </w:t>
      </w:r>
      <w:proofErr w:type="spellStart"/>
      <w:r w:rsidR="001374D2" w:rsidRPr="00FE28D1">
        <w:rPr>
          <w:rStyle w:val="spellingerror"/>
          <w:rFonts w:cs="Arial"/>
          <w:sz w:val="20"/>
          <w:szCs w:val="20"/>
        </w:rPr>
        <w:t>Certified</w:t>
      </w:r>
      <w:proofErr w:type="spellEnd"/>
      <w:r w:rsidR="001374D2" w:rsidRPr="00FE28D1">
        <w:rPr>
          <w:rStyle w:val="normaltextrun1"/>
          <w:rFonts w:cs="Arial"/>
          <w:sz w:val="20"/>
          <w:szCs w:val="20"/>
        </w:rPr>
        <w:t xml:space="preserve"> Solutions </w:t>
      </w:r>
      <w:proofErr w:type="spellStart"/>
      <w:r w:rsidR="001374D2" w:rsidRPr="00FE28D1">
        <w:rPr>
          <w:rStyle w:val="spellingerror"/>
          <w:rFonts w:cs="Arial"/>
          <w:sz w:val="20"/>
          <w:szCs w:val="20"/>
        </w:rPr>
        <w:t>Associate</w:t>
      </w:r>
      <w:proofErr w:type="spellEnd"/>
      <w:r w:rsidR="001374D2" w:rsidRPr="00FE28D1">
        <w:rPr>
          <w:rStyle w:val="normaltextrun1"/>
          <w:rFonts w:cs="Arial"/>
          <w:sz w:val="20"/>
          <w:szCs w:val="20"/>
        </w:rPr>
        <w:t xml:space="preserve"> Windows 2012 Server Zamawiający uzna certyfikat potwierdzający poniższe umiejętności:</w:t>
      </w:r>
      <w:r w:rsidR="001374D2" w:rsidRPr="00FE28D1">
        <w:rPr>
          <w:rStyle w:val="eop"/>
          <w:rFonts w:cs="Arial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6"/>
        </w:numPr>
        <w:spacing w:line="360" w:lineRule="auto"/>
        <w:textAlignment w:val="baseline"/>
        <w:rPr>
          <w:rFonts w:asciiTheme="minorHAnsi" w:hAnsiTheme="minorHAnsi" w:cs="Arial"/>
          <w:sz w:val="20"/>
          <w:szCs w:val="20"/>
        </w:rPr>
      </w:pPr>
      <w:r w:rsidRPr="00BE0019">
        <w:rPr>
          <w:rStyle w:val="normaltextrun1"/>
          <w:rFonts w:asciiTheme="minorHAnsi" w:hAnsiTheme="minorHAnsi" w:cs="Arial"/>
          <w:sz w:val="20"/>
          <w:szCs w:val="20"/>
        </w:rPr>
        <w:t>Instalacja i konfiguracja serwerów  </w:t>
      </w:r>
      <w:r w:rsidRPr="00BE0019">
        <w:rPr>
          <w:rStyle w:val="eop"/>
          <w:rFonts w:asciiTheme="minorHAnsi" w:hAnsiTheme="minorHAnsi" w:cs="Arial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6"/>
        </w:numPr>
        <w:spacing w:line="360" w:lineRule="auto"/>
        <w:textAlignment w:val="baseline"/>
        <w:rPr>
          <w:rFonts w:asciiTheme="minorHAnsi" w:hAnsiTheme="minorHAnsi" w:cs="Arial"/>
          <w:sz w:val="20"/>
          <w:szCs w:val="20"/>
        </w:rPr>
      </w:pPr>
      <w:r w:rsidRPr="00BE0019">
        <w:rPr>
          <w:rStyle w:val="normaltextrun1"/>
          <w:rFonts w:asciiTheme="minorHAnsi" w:hAnsiTheme="minorHAnsi" w:cs="Arial"/>
          <w:sz w:val="20"/>
          <w:szCs w:val="20"/>
        </w:rPr>
        <w:t>Konfiguracja ról i funkcji serwera  </w:t>
      </w:r>
      <w:r w:rsidRPr="00BE0019">
        <w:rPr>
          <w:rStyle w:val="eop"/>
          <w:rFonts w:asciiTheme="minorHAnsi" w:hAnsiTheme="minorHAnsi" w:cs="Arial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6"/>
        </w:numPr>
        <w:spacing w:line="360" w:lineRule="auto"/>
        <w:textAlignment w:val="baseline"/>
        <w:rPr>
          <w:rFonts w:asciiTheme="minorHAnsi" w:hAnsiTheme="minorHAnsi" w:cs="Arial"/>
          <w:sz w:val="20"/>
          <w:szCs w:val="20"/>
        </w:rPr>
      </w:pPr>
      <w:r w:rsidRPr="00BE0019">
        <w:rPr>
          <w:rStyle w:val="normaltextrun1"/>
          <w:rFonts w:asciiTheme="minorHAnsi" w:hAnsiTheme="minorHAnsi" w:cs="Arial"/>
          <w:sz w:val="20"/>
          <w:szCs w:val="20"/>
        </w:rPr>
        <w:t>Wdrażanie i konfiguracja podstawowych usług sieciowych  </w:t>
      </w:r>
      <w:r w:rsidRPr="00BE0019">
        <w:rPr>
          <w:rStyle w:val="eop"/>
          <w:rFonts w:asciiTheme="minorHAnsi" w:hAnsiTheme="minorHAnsi" w:cs="Arial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6"/>
        </w:numPr>
        <w:spacing w:line="360" w:lineRule="auto"/>
        <w:textAlignment w:val="baseline"/>
        <w:rPr>
          <w:rFonts w:asciiTheme="minorHAnsi" w:hAnsiTheme="minorHAnsi" w:cs="Arial"/>
          <w:sz w:val="20"/>
          <w:szCs w:val="20"/>
        </w:rPr>
      </w:pPr>
      <w:r w:rsidRPr="00BE0019">
        <w:rPr>
          <w:rStyle w:val="normaltextrun1"/>
          <w:rFonts w:asciiTheme="minorHAnsi" w:hAnsiTheme="minorHAnsi" w:cs="Arial"/>
          <w:sz w:val="20"/>
          <w:szCs w:val="20"/>
        </w:rPr>
        <w:t>Tworzenie i zarządzanie zasadami grupy  </w:t>
      </w:r>
      <w:r w:rsidRPr="00BE0019">
        <w:rPr>
          <w:rStyle w:val="eop"/>
          <w:rFonts w:asciiTheme="minorHAnsi" w:hAnsiTheme="minorHAnsi" w:cs="Arial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6"/>
        </w:numPr>
        <w:spacing w:line="360" w:lineRule="auto"/>
        <w:textAlignment w:val="baseline"/>
        <w:rPr>
          <w:rFonts w:asciiTheme="minorHAnsi" w:hAnsiTheme="minorHAnsi" w:cs="Arial"/>
          <w:sz w:val="20"/>
          <w:szCs w:val="20"/>
        </w:rPr>
      </w:pPr>
      <w:r w:rsidRPr="00BE0019">
        <w:rPr>
          <w:rStyle w:val="normaltextrun1"/>
          <w:rFonts w:asciiTheme="minorHAnsi" w:hAnsiTheme="minorHAnsi" w:cs="Arial"/>
          <w:sz w:val="20"/>
          <w:szCs w:val="20"/>
        </w:rPr>
        <w:t>Wdrażanie i obsługa serwerów oraz zarządzanie nimi  </w:t>
      </w:r>
      <w:r w:rsidRPr="00BE0019">
        <w:rPr>
          <w:rStyle w:val="eop"/>
          <w:rFonts w:asciiTheme="minorHAnsi" w:hAnsiTheme="minorHAnsi" w:cs="Arial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6"/>
        </w:numPr>
        <w:spacing w:line="360" w:lineRule="auto"/>
        <w:textAlignment w:val="baseline"/>
        <w:rPr>
          <w:rFonts w:asciiTheme="minorHAnsi" w:hAnsiTheme="minorHAnsi" w:cs="Arial"/>
          <w:sz w:val="20"/>
          <w:szCs w:val="20"/>
        </w:rPr>
      </w:pPr>
      <w:r w:rsidRPr="00BE0019">
        <w:rPr>
          <w:rStyle w:val="normaltextrun1"/>
          <w:rFonts w:asciiTheme="minorHAnsi" w:hAnsiTheme="minorHAnsi" w:cs="Arial"/>
          <w:sz w:val="20"/>
          <w:szCs w:val="20"/>
        </w:rPr>
        <w:t>Konfiguracja usług plików i drukowania  </w:t>
      </w:r>
      <w:r w:rsidRPr="00BE0019">
        <w:rPr>
          <w:rStyle w:val="eop"/>
          <w:rFonts w:asciiTheme="minorHAnsi" w:hAnsiTheme="minorHAnsi" w:cs="Arial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6"/>
        </w:numPr>
        <w:spacing w:line="360" w:lineRule="auto"/>
        <w:textAlignment w:val="baseline"/>
        <w:rPr>
          <w:rFonts w:asciiTheme="minorHAnsi" w:hAnsiTheme="minorHAnsi" w:cs="Arial"/>
          <w:sz w:val="20"/>
          <w:szCs w:val="20"/>
        </w:rPr>
      </w:pPr>
      <w:r w:rsidRPr="00BE0019">
        <w:rPr>
          <w:rStyle w:val="normaltextrun1"/>
          <w:rFonts w:asciiTheme="minorHAnsi" w:hAnsiTheme="minorHAnsi" w:cs="Arial"/>
          <w:sz w:val="20"/>
          <w:szCs w:val="20"/>
        </w:rPr>
        <w:lastRenderedPageBreak/>
        <w:t>Konfiguracja usług sieciowych i dostępu  </w:t>
      </w:r>
      <w:r w:rsidRPr="00BE0019">
        <w:rPr>
          <w:rStyle w:val="eop"/>
          <w:rFonts w:asciiTheme="minorHAnsi" w:hAnsiTheme="minorHAnsi" w:cs="Arial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6"/>
        </w:numPr>
        <w:spacing w:line="360" w:lineRule="auto"/>
        <w:textAlignment w:val="baseline"/>
        <w:rPr>
          <w:rFonts w:asciiTheme="minorHAnsi" w:hAnsiTheme="minorHAnsi" w:cs="Arial"/>
          <w:sz w:val="20"/>
          <w:szCs w:val="20"/>
        </w:rPr>
      </w:pPr>
      <w:r w:rsidRPr="00BE0019">
        <w:rPr>
          <w:rStyle w:val="normaltextrun1"/>
          <w:rFonts w:asciiTheme="minorHAnsi" w:hAnsiTheme="minorHAnsi" w:cs="Arial"/>
          <w:sz w:val="20"/>
          <w:szCs w:val="20"/>
        </w:rPr>
        <w:t>Konfiguracja serwera zasad sieciowych  </w:t>
      </w:r>
      <w:r w:rsidRPr="00BE0019">
        <w:rPr>
          <w:rStyle w:val="eop"/>
          <w:rFonts w:asciiTheme="minorHAnsi" w:hAnsiTheme="minorHAnsi" w:cs="Arial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6"/>
        </w:numPr>
        <w:spacing w:line="360" w:lineRule="auto"/>
        <w:textAlignment w:val="baseline"/>
        <w:rPr>
          <w:rFonts w:asciiTheme="minorHAnsi" w:hAnsiTheme="minorHAnsi" w:cs="Arial"/>
          <w:sz w:val="20"/>
          <w:szCs w:val="20"/>
        </w:rPr>
      </w:pPr>
      <w:r w:rsidRPr="00BE0019">
        <w:rPr>
          <w:rStyle w:val="normaltextrun1"/>
          <w:rFonts w:asciiTheme="minorHAnsi" w:hAnsiTheme="minorHAnsi" w:cs="Arial"/>
          <w:sz w:val="20"/>
          <w:szCs w:val="20"/>
        </w:rPr>
        <w:t>Konfiguracja zasad grupy i zarządzanie nimi  </w:t>
      </w:r>
      <w:r w:rsidRPr="00BE0019">
        <w:rPr>
          <w:rStyle w:val="eop"/>
          <w:rFonts w:asciiTheme="minorHAnsi" w:hAnsiTheme="minorHAnsi" w:cs="Arial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6"/>
        </w:numPr>
        <w:spacing w:line="360" w:lineRule="auto"/>
        <w:textAlignment w:val="baseline"/>
        <w:rPr>
          <w:rFonts w:asciiTheme="minorHAnsi" w:hAnsiTheme="minorHAnsi" w:cs="Arial"/>
          <w:sz w:val="20"/>
          <w:szCs w:val="20"/>
        </w:rPr>
      </w:pPr>
      <w:r w:rsidRPr="00BE0019">
        <w:rPr>
          <w:rStyle w:val="normaltextrun1"/>
          <w:rFonts w:asciiTheme="minorHAnsi" w:hAnsiTheme="minorHAnsi" w:cs="Arial"/>
          <w:sz w:val="20"/>
          <w:szCs w:val="20"/>
        </w:rPr>
        <w:t>Konfiguracja wysokiej dostępności i zarządzanie nią  </w:t>
      </w:r>
      <w:r w:rsidRPr="00BE0019">
        <w:rPr>
          <w:rStyle w:val="eop"/>
          <w:rFonts w:asciiTheme="minorHAnsi" w:hAnsiTheme="minorHAnsi" w:cs="Arial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6"/>
        </w:numPr>
        <w:spacing w:line="360" w:lineRule="auto"/>
        <w:textAlignment w:val="baseline"/>
        <w:rPr>
          <w:rFonts w:asciiTheme="minorHAnsi" w:hAnsiTheme="minorHAnsi" w:cs="Arial"/>
          <w:sz w:val="20"/>
          <w:szCs w:val="20"/>
        </w:rPr>
      </w:pPr>
      <w:r w:rsidRPr="00BE0019">
        <w:rPr>
          <w:rStyle w:val="normaltextrun1"/>
          <w:rFonts w:asciiTheme="minorHAnsi" w:hAnsiTheme="minorHAnsi" w:cs="Arial"/>
          <w:sz w:val="20"/>
          <w:szCs w:val="20"/>
        </w:rPr>
        <w:t>Konfiguracja rozwiązań plików i pamięci masowej  </w:t>
      </w:r>
      <w:r w:rsidRPr="00BE0019">
        <w:rPr>
          <w:rStyle w:val="eop"/>
          <w:rFonts w:asciiTheme="minorHAnsi" w:hAnsiTheme="minorHAnsi" w:cs="Arial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6"/>
        </w:numPr>
        <w:spacing w:line="360" w:lineRule="auto"/>
        <w:textAlignment w:val="baseline"/>
        <w:rPr>
          <w:rFonts w:asciiTheme="minorHAnsi" w:hAnsiTheme="minorHAnsi" w:cs="Arial"/>
          <w:sz w:val="20"/>
          <w:szCs w:val="20"/>
        </w:rPr>
      </w:pPr>
      <w:r w:rsidRPr="00BE0019">
        <w:rPr>
          <w:rStyle w:val="normaltextrun1"/>
          <w:rFonts w:asciiTheme="minorHAnsi" w:hAnsiTheme="minorHAnsi" w:cs="Arial"/>
          <w:sz w:val="20"/>
          <w:szCs w:val="20"/>
        </w:rPr>
        <w:t>Implementowanie ciągłości biznesowej i odzyskiwania awaryjnego  </w:t>
      </w:r>
      <w:r w:rsidRPr="00BE0019">
        <w:rPr>
          <w:rStyle w:val="eop"/>
          <w:rFonts w:asciiTheme="minorHAnsi" w:hAnsiTheme="minorHAnsi" w:cs="Arial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6"/>
        </w:numPr>
        <w:spacing w:line="360" w:lineRule="auto"/>
        <w:textAlignment w:val="baseline"/>
        <w:rPr>
          <w:rFonts w:asciiTheme="minorHAnsi" w:hAnsiTheme="minorHAnsi" w:cs="Arial"/>
          <w:sz w:val="20"/>
          <w:szCs w:val="20"/>
        </w:rPr>
      </w:pPr>
      <w:r w:rsidRPr="00BE0019">
        <w:rPr>
          <w:rStyle w:val="normaltextrun1"/>
          <w:rFonts w:asciiTheme="minorHAnsi" w:hAnsiTheme="minorHAnsi" w:cs="Arial"/>
          <w:sz w:val="20"/>
          <w:szCs w:val="20"/>
        </w:rPr>
        <w:t>Konfiguracja usług sieciowych  </w:t>
      </w:r>
      <w:r w:rsidRPr="00BE0019">
        <w:rPr>
          <w:rStyle w:val="eop"/>
          <w:rFonts w:asciiTheme="minorHAnsi" w:hAnsiTheme="minorHAnsi" w:cs="Arial"/>
          <w:sz w:val="20"/>
          <w:szCs w:val="20"/>
        </w:rPr>
        <w:t> </w:t>
      </w:r>
    </w:p>
    <w:p w:rsidR="001374D2" w:rsidRDefault="001374D2" w:rsidP="00704267">
      <w:pPr>
        <w:pStyle w:val="paragraph"/>
        <w:numPr>
          <w:ilvl w:val="0"/>
          <w:numId w:val="6"/>
        </w:numPr>
        <w:spacing w:line="360" w:lineRule="auto"/>
        <w:textAlignment w:val="baseline"/>
        <w:rPr>
          <w:rStyle w:val="normaltextrun1"/>
          <w:rFonts w:asciiTheme="minorHAnsi" w:hAnsiTheme="minorHAnsi" w:cs="Arial"/>
          <w:sz w:val="20"/>
          <w:szCs w:val="20"/>
        </w:rPr>
      </w:pPr>
      <w:proofErr w:type="spellStart"/>
      <w:r w:rsidRPr="00BE0019">
        <w:rPr>
          <w:rStyle w:val="spellingerror"/>
          <w:rFonts w:asciiTheme="minorHAnsi" w:hAnsiTheme="minorHAnsi" w:cs="Arial"/>
          <w:sz w:val="20"/>
          <w:szCs w:val="20"/>
        </w:rPr>
        <w:t>KonfigurKonfiguracja</w:t>
      </w:r>
      <w:proofErr w:type="spellEnd"/>
      <w:r w:rsidRPr="00BE0019">
        <w:rPr>
          <w:rStyle w:val="normaltextrun1"/>
          <w:rFonts w:asciiTheme="minorHAnsi" w:hAnsiTheme="minorHAnsi" w:cs="Arial"/>
          <w:sz w:val="20"/>
          <w:szCs w:val="20"/>
        </w:rPr>
        <w:t xml:space="preserve"> rozwiązań tożsamości i dostępu </w:t>
      </w:r>
    </w:p>
    <w:p w:rsidR="00FE28D1" w:rsidRPr="00FE28D1" w:rsidRDefault="00FE28D1" w:rsidP="00FE28D1">
      <w:pPr>
        <w:pStyle w:val="paragraph"/>
        <w:spacing w:line="360" w:lineRule="auto"/>
        <w:ind w:left="1069"/>
        <w:textAlignment w:val="baseline"/>
        <w:rPr>
          <w:rStyle w:val="normaltextrun1"/>
          <w:rFonts w:asciiTheme="minorHAnsi" w:hAnsiTheme="minorHAnsi" w:cs="Arial"/>
          <w:sz w:val="20"/>
          <w:szCs w:val="20"/>
        </w:rPr>
      </w:pPr>
    </w:p>
    <w:p w:rsidR="001374D2" w:rsidRPr="00FE28D1" w:rsidRDefault="00BE0019" w:rsidP="00704267">
      <w:pPr>
        <w:pStyle w:val="paragraph"/>
        <w:numPr>
          <w:ilvl w:val="0"/>
          <w:numId w:val="1"/>
        </w:numPr>
        <w:spacing w:line="360" w:lineRule="auto"/>
        <w:textAlignment w:val="baseline"/>
        <w:rPr>
          <w:rFonts w:asciiTheme="minorHAnsi" w:hAnsiTheme="minorHAnsi" w:cs="Arial"/>
          <w:sz w:val="20"/>
          <w:szCs w:val="20"/>
        </w:rPr>
      </w:pPr>
      <w:r w:rsidRPr="00BE0019">
        <w:rPr>
          <w:rStyle w:val="normaltextrun1"/>
          <w:rFonts w:asciiTheme="minorHAnsi" w:hAnsiTheme="minorHAnsi"/>
          <w:color w:val="000000"/>
          <w:sz w:val="20"/>
          <w:szCs w:val="20"/>
        </w:rPr>
        <w:t xml:space="preserve">Microsoft </w:t>
      </w:r>
      <w:proofErr w:type="spellStart"/>
      <w:r w:rsidRPr="00BE0019">
        <w:rPr>
          <w:rStyle w:val="spellingerror"/>
          <w:rFonts w:asciiTheme="minorHAnsi" w:hAnsiTheme="minorHAnsi"/>
          <w:color w:val="000000"/>
          <w:sz w:val="20"/>
          <w:szCs w:val="20"/>
        </w:rPr>
        <w:t>Certified</w:t>
      </w:r>
      <w:proofErr w:type="spellEnd"/>
      <w:r w:rsidRPr="00BE0019">
        <w:rPr>
          <w:rStyle w:val="normaltextrun1"/>
          <w:rFonts w:asciiTheme="minorHAnsi" w:hAnsiTheme="minorHAnsi"/>
          <w:color w:val="000000"/>
          <w:sz w:val="20"/>
          <w:szCs w:val="20"/>
        </w:rPr>
        <w:t xml:space="preserve"> Solutions </w:t>
      </w:r>
      <w:proofErr w:type="spellStart"/>
      <w:r w:rsidRPr="00BE0019">
        <w:rPr>
          <w:rStyle w:val="spellingerror"/>
          <w:rFonts w:asciiTheme="minorHAnsi" w:hAnsiTheme="minorHAnsi"/>
          <w:color w:val="000000"/>
          <w:sz w:val="20"/>
          <w:szCs w:val="20"/>
        </w:rPr>
        <w:t>Expert</w:t>
      </w:r>
      <w:proofErr w:type="spellEnd"/>
      <w:r w:rsidRPr="00BE0019">
        <w:rPr>
          <w:rStyle w:val="normaltextrun1"/>
          <w:rFonts w:asciiTheme="minorHAnsi" w:hAnsiTheme="minorHAnsi"/>
          <w:color w:val="000000"/>
          <w:sz w:val="20"/>
          <w:szCs w:val="20"/>
        </w:rPr>
        <w:t>: Messaging</w:t>
      </w:r>
      <w:r w:rsidR="00FE28D1">
        <w:rPr>
          <w:rStyle w:val="normaltextrun1"/>
          <w:rFonts w:asciiTheme="minorHAnsi" w:hAnsiTheme="minorHAnsi" w:cs="Arial"/>
          <w:sz w:val="20"/>
          <w:szCs w:val="20"/>
        </w:rPr>
        <w:t xml:space="preserve"> - </w:t>
      </w:r>
      <w:r w:rsidR="00FE28D1">
        <w:rPr>
          <w:rStyle w:val="normaltextrun1"/>
          <w:rFonts w:asciiTheme="minorHAnsi" w:hAnsiTheme="minorHAnsi" w:cs="Arial"/>
          <w:color w:val="000000"/>
          <w:sz w:val="20"/>
          <w:szCs w:val="20"/>
        </w:rPr>
        <w:t>z</w:t>
      </w:r>
      <w:r w:rsidR="001374D2" w:rsidRPr="00FE28D1">
        <w:rPr>
          <w:rStyle w:val="normaltextrun1"/>
          <w:rFonts w:asciiTheme="minorHAnsi" w:hAnsiTheme="minorHAnsi" w:cs="Arial"/>
          <w:color w:val="000000"/>
          <w:sz w:val="20"/>
          <w:szCs w:val="20"/>
        </w:rPr>
        <w:t xml:space="preserve">a certyfikat równoważny do </w:t>
      </w:r>
      <w:r w:rsidR="001374D2"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 xml:space="preserve">Microsoft </w:t>
      </w:r>
      <w:proofErr w:type="spellStart"/>
      <w:r w:rsidR="001374D2" w:rsidRPr="00FE28D1">
        <w:rPr>
          <w:rStyle w:val="spellingerror"/>
          <w:rFonts w:asciiTheme="minorHAnsi" w:hAnsiTheme="minorHAnsi"/>
          <w:color w:val="000000"/>
          <w:sz w:val="20"/>
          <w:szCs w:val="20"/>
        </w:rPr>
        <w:t>Certified</w:t>
      </w:r>
      <w:proofErr w:type="spellEnd"/>
      <w:r w:rsidR="001374D2"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 xml:space="preserve"> Solutions </w:t>
      </w:r>
      <w:proofErr w:type="spellStart"/>
      <w:r w:rsidR="001374D2" w:rsidRPr="00FE28D1">
        <w:rPr>
          <w:rStyle w:val="spellingerror"/>
          <w:rFonts w:asciiTheme="minorHAnsi" w:hAnsiTheme="minorHAnsi"/>
          <w:color w:val="000000"/>
          <w:sz w:val="20"/>
          <w:szCs w:val="20"/>
        </w:rPr>
        <w:t>Expert</w:t>
      </w:r>
      <w:proofErr w:type="spellEnd"/>
      <w:r w:rsidR="001374D2"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>: Messaging</w:t>
      </w:r>
      <w:r w:rsidR="001374D2" w:rsidRPr="00FE28D1">
        <w:rPr>
          <w:rStyle w:val="normaltextrun1"/>
          <w:rFonts w:asciiTheme="minorHAnsi" w:hAnsiTheme="minorHAnsi" w:cs="Arial"/>
          <w:color w:val="000000"/>
          <w:sz w:val="20"/>
          <w:szCs w:val="20"/>
        </w:rPr>
        <w:t xml:space="preserve"> Zamawiający uzna certyfikat potwierdzający poniższe umiejętności:</w:t>
      </w:r>
      <w:r w:rsidR="001374D2" w:rsidRPr="00FE28D1">
        <w:rPr>
          <w:rStyle w:val="eop"/>
          <w:rFonts w:asciiTheme="minorHAnsi" w:hAnsiTheme="minorHAnsi" w:cs="Arial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7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color w:val="000000"/>
          <w:sz w:val="20"/>
          <w:szCs w:val="20"/>
        </w:rPr>
        <w:t>Planowanie roli skrzynki pocztowej 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7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color w:val="000000"/>
          <w:sz w:val="20"/>
          <w:szCs w:val="20"/>
        </w:rPr>
        <w:t>Planowanie pod kątem wymagań dotyczących wielkości bazy danych i wydajności pamięci masowej; planowanie pod kątem wymagań wirtualizacji i scenariuszy; planowanie wydajności roli skrzynki pocztowej i rozmieszczenia; projektowanie strategii rozmieszczenia folderów publicznych; 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7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color w:val="000000"/>
          <w:sz w:val="20"/>
          <w:szCs w:val="20"/>
        </w:rPr>
        <w:t>Konfigurowanie i zarządzanie rolą skrzynki pocztowej 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7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color w:val="000000"/>
          <w:sz w:val="20"/>
          <w:szCs w:val="20"/>
        </w:rPr>
        <w:t>Tworzenie i konfigurowanie książki adresowej trybu offline; tworzenie i konfigurowanie folderów publicznych; wdrażanie ról serwera skrzynek pocztowych; projektowanie i tworzenie hierarchicznych list adresów 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7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color w:val="000000"/>
          <w:sz w:val="20"/>
          <w:szCs w:val="20"/>
        </w:rPr>
        <w:t>Wdrażanie rozwiązań wysokiej dostępności dla roli skrzynki pocztowej i zarządzanie nimi 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7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color w:val="000000"/>
          <w:sz w:val="20"/>
          <w:szCs w:val="20"/>
        </w:rPr>
        <w:t>Tworzenie i konfigurowanie grupy dostępności bazy danych; określanie domen awarii; zarządzanie sieciami grup dostępności bazy danych; konfigurowanie prawidłowego rozmieszczenia monitora udostępniania plików; zarządzanie kopiami bazy danych skrzynek pocztowych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FE28D1" w:rsidRDefault="001374D2" w:rsidP="00704267">
      <w:pPr>
        <w:pStyle w:val="paragraph"/>
        <w:numPr>
          <w:ilvl w:val="0"/>
          <w:numId w:val="7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>Monitorowanie roli skrzynki pocztowej i rozwiązywanie problemów </w:t>
      </w:r>
      <w:r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FE28D1" w:rsidRDefault="001374D2" w:rsidP="00704267">
      <w:pPr>
        <w:pStyle w:val="paragraph"/>
        <w:numPr>
          <w:ilvl w:val="0"/>
          <w:numId w:val="7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>Rozwiązywanie problemów dotyczących odtwarzania i replikacji bazy danych; rozwiązywanie problemów z aktywacją kopii bazy danych; rozwiązywanie problemów z wydajnością roli skrzynki pocztowej; rozwiązywanie problemów z awarią bazy danych; monitorowanie replikacji bazy danych i indeksowania zawartości</w:t>
      </w:r>
      <w:r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FE28D1" w:rsidRDefault="00446813" w:rsidP="00704267">
      <w:pPr>
        <w:pStyle w:val="paragraph"/>
        <w:numPr>
          <w:ilvl w:val="0"/>
          <w:numId w:val="7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hyperlink r:id="rId9" w:tgtFrame="_blank" w:history="1">
        <w:r w:rsidR="001374D2" w:rsidRPr="00FE28D1">
          <w:rPr>
            <w:rStyle w:val="normaltextrun1"/>
            <w:rFonts w:asciiTheme="minorHAnsi" w:hAnsiTheme="minorHAnsi"/>
            <w:color w:val="000000"/>
            <w:sz w:val="20"/>
            <w:szCs w:val="20"/>
          </w:rPr>
          <w:t>Planowanie, instalowanie i konfigurowanie dostępu klienta oraz zarządzanie nim</w:t>
        </w:r>
      </w:hyperlink>
      <w:r w:rsidR="001374D2"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FE28D1" w:rsidRDefault="001374D2" w:rsidP="00704267">
      <w:pPr>
        <w:pStyle w:val="paragraph"/>
        <w:numPr>
          <w:ilvl w:val="0"/>
          <w:numId w:val="8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>Planowanie i wdrażanie serwera dostępu klienta oraz zarządzanie nim </w:t>
      </w:r>
      <w:r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FE28D1" w:rsidRDefault="001374D2" w:rsidP="00704267">
      <w:pPr>
        <w:pStyle w:val="paragraph"/>
        <w:numPr>
          <w:ilvl w:val="0"/>
          <w:numId w:val="8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>Planowanie i konfigurowanie przestrzeni nazw i usług klienta </w:t>
      </w:r>
      <w:r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FE28D1" w:rsidRDefault="001374D2" w:rsidP="00704267">
      <w:pPr>
        <w:pStyle w:val="paragraph"/>
        <w:numPr>
          <w:ilvl w:val="0"/>
          <w:numId w:val="8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>Projektowanie przestrzeni nazw do obsługi łączności klienta; konfigurowanie adresów URL; planowanie certyfikatów; konfigurowanie metody uwierzytelniania; implementowanie wykrywania automatycznego dla danej przestrzeni nazw</w:t>
      </w:r>
      <w:r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FE28D1" w:rsidRDefault="001374D2" w:rsidP="00704267">
      <w:pPr>
        <w:pStyle w:val="paragraph"/>
        <w:numPr>
          <w:ilvl w:val="0"/>
          <w:numId w:val="8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>Implementowanie równoważenia obciążenia </w:t>
      </w:r>
      <w:r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FE28D1" w:rsidRDefault="001374D2" w:rsidP="00704267">
      <w:pPr>
        <w:pStyle w:val="paragraph"/>
        <w:numPr>
          <w:ilvl w:val="0"/>
          <w:numId w:val="8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 xml:space="preserve">Konfigurowanie równoważenia obciążenia przestrzeni nazw; konfigurowanie równoważenia obciążenia protokołu </w:t>
      </w:r>
      <w:proofErr w:type="spellStart"/>
      <w:r w:rsidRPr="00FE28D1">
        <w:rPr>
          <w:rStyle w:val="spellingerror"/>
          <w:rFonts w:asciiTheme="minorHAnsi" w:hAnsiTheme="minorHAnsi"/>
          <w:color w:val="000000"/>
          <w:sz w:val="20"/>
          <w:szCs w:val="20"/>
        </w:rPr>
        <w:t>Session</w:t>
      </w:r>
      <w:proofErr w:type="spellEnd"/>
      <w:r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FE28D1">
        <w:rPr>
          <w:rStyle w:val="spellingerror"/>
          <w:rFonts w:asciiTheme="minorHAnsi" w:hAnsiTheme="minorHAnsi"/>
          <w:color w:val="000000"/>
          <w:sz w:val="20"/>
          <w:szCs w:val="20"/>
        </w:rPr>
        <w:t>Initiation</w:t>
      </w:r>
      <w:proofErr w:type="spellEnd"/>
      <w:r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FE28D1">
        <w:rPr>
          <w:rStyle w:val="spellingerror"/>
          <w:rFonts w:asciiTheme="minorHAnsi" w:hAnsiTheme="minorHAnsi"/>
          <w:color w:val="000000"/>
          <w:sz w:val="20"/>
          <w:szCs w:val="20"/>
        </w:rPr>
        <w:t>Protocol</w:t>
      </w:r>
      <w:proofErr w:type="spellEnd"/>
      <w:r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 xml:space="preserve"> (SIP); planowanie pod kątem różnic w metodach równoważenia obciążenia warstwy siódmej i warstwy czwartej; </w:t>
      </w:r>
      <w:r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FE28D1" w:rsidRDefault="00446813" w:rsidP="00704267">
      <w:pPr>
        <w:pStyle w:val="paragraph"/>
        <w:numPr>
          <w:ilvl w:val="0"/>
          <w:numId w:val="7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hyperlink r:id="rId10" w:tgtFrame="_blank" w:history="1">
        <w:r w:rsidR="001374D2" w:rsidRPr="00FE28D1">
          <w:rPr>
            <w:rStyle w:val="normaltextrun1"/>
            <w:rFonts w:asciiTheme="minorHAnsi" w:hAnsiTheme="minorHAnsi"/>
            <w:color w:val="000000"/>
            <w:sz w:val="20"/>
            <w:szCs w:val="20"/>
          </w:rPr>
          <w:t>Planowanie, instalowanie i konfigurowanie transportu oraz zarządzanie nim</w:t>
        </w:r>
      </w:hyperlink>
      <w:r w:rsidR="001374D2"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FE28D1" w:rsidRDefault="001374D2" w:rsidP="00704267">
      <w:pPr>
        <w:pStyle w:val="paragraph"/>
        <w:numPr>
          <w:ilvl w:val="0"/>
          <w:numId w:val="9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>Planowanie rozwiązania wysokiej dostępności dla typowych scenariuszy </w:t>
      </w:r>
      <w:r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FE28D1" w:rsidRDefault="001374D2" w:rsidP="00704267">
      <w:pPr>
        <w:pStyle w:val="paragraph"/>
        <w:numPr>
          <w:ilvl w:val="0"/>
          <w:numId w:val="9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>Projektowanie rozwiązania transportu </w:t>
      </w:r>
      <w:r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FE28D1" w:rsidRDefault="001374D2" w:rsidP="00704267">
      <w:pPr>
        <w:pStyle w:val="paragraph"/>
        <w:numPr>
          <w:ilvl w:val="0"/>
          <w:numId w:val="9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>Projektowanie przepływu poczty e-mail między lokalizacjami; projektowanie przepływu poczty e-mail między organizacjami; planowanie pod kątem zabezpieczeń; projektowanie transportu brzegowego; projektowanie rozwiązań higieny wiadomości; projektowanie scenariuszy z udostępnianą przestrzenią nazw</w:t>
      </w:r>
      <w:r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FE28D1" w:rsidRDefault="001374D2" w:rsidP="00704267">
      <w:pPr>
        <w:pStyle w:val="paragraph"/>
        <w:numPr>
          <w:ilvl w:val="0"/>
          <w:numId w:val="9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>Rozwiązywanie problemów i monitorowanie transportu </w:t>
      </w:r>
      <w:r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FE28D1" w:rsidRDefault="001374D2" w:rsidP="00704267">
      <w:pPr>
        <w:pStyle w:val="paragraph"/>
        <w:numPr>
          <w:ilvl w:val="0"/>
          <w:numId w:val="9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>Interpretowanie dzienników śledzenia wiadomości i dzienników protokołu; rozwiązywanie problemów ze środowiskiem udostępnianej przestrzeni nazw; rozwiązywanie problemów z przepływem poczty e-mail SMTP; przewidywanie przepływu poczty e-mail na podstawie podanego scenariusza awarii oraz określanie sposobu odzyskiwania; rozwiązywanie problemów; rozwiązywanie problemów z architekturą nowego transportu</w:t>
      </w:r>
      <w:r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FE28D1" w:rsidRDefault="00446813" w:rsidP="00704267">
      <w:pPr>
        <w:pStyle w:val="paragraph"/>
        <w:numPr>
          <w:ilvl w:val="0"/>
          <w:numId w:val="7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hyperlink r:id="rId11" w:tgtFrame="_blank" w:history="1">
        <w:r w:rsidR="001374D2" w:rsidRPr="00FE28D1">
          <w:rPr>
            <w:rStyle w:val="normaltextrun1"/>
            <w:rFonts w:asciiTheme="minorHAnsi" w:hAnsiTheme="minorHAnsi"/>
            <w:color w:val="000000"/>
            <w:sz w:val="20"/>
            <w:szCs w:val="20"/>
          </w:rPr>
          <w:t>Projektowanie infrastruktury i zarządzanie nią</w:t>
        </w:r>
      </w:hyperlink>
      <w:r w:rsidR="001374D2"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FE28D1" w:rsidRDefault="001374D2" w:rsidP="00704267">
      <w:pPr>
        <w:pStyle w:val="paragraph"/>
        <w:numPr>
          <w:ilvl w:val="0"/>
          <w:numId w:val="10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>Planowanie kontroli dostępu opartej na rolach i zarządzanie nią </w:t>
      </w:r>
      <w:r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FE28D1" w:rsidRDefault="001374D2" w:rsidP="00704267">
      <w:pPr>
        <w:pStyle w:val="paragraph"/>
        <w:numPr>
          <w:ilvl w:val="0"/>
          <w:numId w:val="10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>Określanie odpowiednich ról kontroli dostępu opartej na rolach i poleceń; ograniczanie administracji przy użyciu istniejących grup ról; ocenianie różnic między kontrolą dostępu opartą na rolach a dzielonymi uprawnieniami; konfigurowanie grupy ról o niestandardowym zakresie; określanie konfiguracji delegowanej</w:t>
      </w:r>
      <w:r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FE28D1" w:rsidRDefault="00446813" w:rsidP="00704267">
      <w:pPr>
        <w:pStyle w:val="paragraph"/>
        <w:numPr>
          <w:ilvl w:val="0"/>
          <w:numId w:val="7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hyperlink r:id="rId12" w:tgtFrame="_blank" w:history="1">
        <w:r w:rsidR="001374D2" w:rsidRPr="00FE28D1">
          <w:rPr>
            <w:rStyle w:val="normaltextrun1"/>
            <w:rFonts w:asciiTheme="minorHAnsi" w:hAnsiTheme="minorHAnsi"/>
            <w:color w:val="000000"/>
            <w:sz w:val="20"/>
            <w:szCs w:val="20"/>
          </w:rPr>
          <w:t>Projektowanie i konfigurowanie odporności witryny oraz zarządzanie nią</w:t>
        </w:r>
      </w:hyperlink>
      <w:r w:rsidR="001374D2"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FE28D1" w:rsidRDefault="001374D2" w:rsidP="00704267">
      <w:pPr>
        <w:pStyle w:val="paragraph"/>
        <w:numPr>
          <w:ilvl w:val="0"/>
          <w:numId w:val="11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>Zarządzanie grupą dostępności bazy danych opartej na odporności witryny </w:t>
      </w:r>
      <w:r w:rsidRPr="00FE28D1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11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FE28D1">
        <w:rPr>
          <w:rStyle w:val="normaltextrun1"/>
          <w:rFonts w:asciiTheme="minorHAnsi" w:hAnsiTheme="minorHAnsi"/>
          <w:color w:val="000000"/>
          <w:sz w:val="20"/>
          <w:szCs w:val="20"/>
        </w:rPr>
        <w:t>Projektowanie i wdrażanie rozwiązania CAS opartego na odporności witryny oraz zarządzanie</w:t>
      </w:r>
      <w:r w:rsidRPr="00BE0019">
        <w:rPr>
          <w:rStyle w:val="normaltextrun1"/>
          <w:rFonts w:asciiTheme="minorHAnsi" w:hAnsiTheme="minorHAnsi"/>
          <w:color w:val="000000"/>
          <w:sz w:val="20"/>
          <w:szCs w:val="20"/>
        </w:rPr>
        <w:t xml:space="preserve"> nim 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11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color w:val="000000"/>
          <w:sz w:val="20"/>
          <w:szCs w:val="20"/>
        </w:rPr>
        <w:t>Planowanie przestrzeni nazw opartych na odporności witryny; konfigurowanie adresów URL przestrzeni nazw opartych na odporności witryny; przeprowadzanie etapów przerzucenia witryny; planowanie wymagań certyfikatów; przewidywanie zachowania klienta podczas przerzucania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704267">
      <w:pPr>
        <w:pStyle w:val="paragraph"/>
        <w:numPr>
          <w:ilvl w:val="0"/>
          <w:numId w:val="11"/>
        </w:numPr>
        <w:spacing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BE0019">
        <w:rPr>
          <w:rStyle w:val="normaltextrun1"/>
          <w:rFonts w:asciiTheme="minorHAnsi" w:hAnsiTheme="minorHAnsi"/>
          <w:color w:val="000000"/>
          <w:sz w:val="20"/>
          <w:szCs w:val="20"/>
        </w:rPr>
        <w:t>Projektowanie i wdrażanie odporności witryny oraz zarządzanie nią dla potrzeb transportu </w:t>
      </w:r>
      <w:r w:rsidRPr="00BE0019">
        <w:rPr>
          <w:rStyle w:val="eop"/>
          <w:rFonts w:asciiTheme="minorHAnsi" w:hAnsiTheme="minorHAnsi"/>
          <w:sz w:val="20"/>
          <w:szCs w:val="20"/>
        </w:rPr>
        <w:t> </w:t>
      </w:r>
    </w:p>
    <w:p w:rsidR="001374D2" w:rsidRPr="00BE0019" w:rsidRDefault="001374D2" w:rsidP="00BE0019">
      <w:pPr>
        <w:pStyle w:val="paragraph"/>
        <w:spacing w:line="360" w:lineRule="auto"/>
        <w:ind w:left="360"/>
        <w:textAlignment w:val="baseline"/>
        <w:rPr>
          <w:rFonts w:asciiTheme="minorHAnsi" w:hAnsiTheme="minorHAnsi" w:cs="Arial"/>
          <w:sz w:val="20"/>
          <w:szCs w:val="20"/>
        </w:rPr>
      </w:pPr>
    </w:p>
    <w:p w:rsidR="001374D2" w:rsidRPr="00BE0019" w:rsidRDefault="001374D2" w:rsidP="00BE0019">
      <w:pPr>
        <w:spacing w:line="360" w:lineRule="auto"/>
        <w:rPr>
          <w:sz w:val="20"/>
          <w:szCs w:val="20"/>
        </w:rPr>
      </w:pPr>
    </w:p>
    <w:sectPr w:rsidR="001374D2" w:rsidRPr="00BE001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813" w:rsidRDefault="00446813" w:rsidP="00DD2956">
      <w:pPr>
        <w:spacing w:after="0" w:line="240" w:lineRule="auto"/>
      </w:pPr>
      <w:r>
        <w:separator/>
      </w:r>
    </w:p>
  </w:endnote>
  <w:endnote w:type="continuationSeparator" w:id="0">
    <w:p w:rsidR="00446813" w:rsidRDefault="00446813" w:rsidP="00DD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956" w:rsidRPr="00F913EB" w:rsidRDefault="00DD2956" w:rsidP="00DD2956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F913EB">
      <w:rPr>
        <w:rFonts w:ascii="Calibri" w:hAnsi="Calibri"/>
        <w:b/>
        <w:sz w:val="16"/>
        <w:szCs w:val="16"/>
      </w:rPr>
      <w:t>Mazowiecka Jednostka Wdrażania Programów Unijnych</w:t>
    </w:r>
  </w:p>
  <w:p w:rsidR="00DD2956" w:rsidRPr="00F913EB" w:rsidRDefault="00DD2956" w:rsidP="00DD2956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F913EB">
      <w:rPr>
        <w:rFonts w:ascii="Calibri" w:hAnsi="Calibri"/>
        <w:b/>
        <w:sz w:val="16"/>
        <w:szCs w:val="16"/>
      </w:rPr>
      <w:t>ul. Jagiellońska 74, 03-301 Warszawa</w:t>
    </w:r>
  </w:p>
  <w:p w:rsidR="00DD2956" w:rsidRPr="00F913EB" w:rsidRDefault="00DD2956" w:rsidP="00DD2956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F913EB">
      <w:rPr>
        <w:rFonts w:ascii="Calibri" w:hAnsi="Calibri"/>
        <w:b/>
        <w:sz w:val="16"/>
        <w:szCs w:val="16"/>
      </w:rPr>
      <w:t xml:space="preserve">Strona </w:t>
    </w:r>
    <w:r w:rsidRPr="00F913EB">
      <w:rPr>
        <w:rFonts w:ascii="Calibri" w:hAnsi="Calibri"/>
        <w:b/>
        <w:sz w:val="16"/>
        <w:szCs w:val="16"/>
      </w:rPr>
      <w:fldChar w:fldCharType="begin"/>
    </w:r>
    <w:r w:rsidRPr="00F913EB">
      <w:rPr>
        <w:rFonts w:ascii="Calibri" w:hAnsi="Calibri"/>
        <w:b/>
        <w:sz w:val="16"/>
        <w:szCs w:val="16"/>
      </w:rPr>
      <w:instrText xml:space="preserve"> PAGE </w:instrText>
    </w:r>
    <w:r w:rsidRPr="00F913EB">
      <w:rPr>
        <w:rFonts w:ascii="Calibri" w:hAnsi="Calibri"/>
        <w:b/>
        <w:sz w:val="16"/>
        <w:szCs w:val="16"/>
      </w:rPr>
      <w:fldChar w:fldCharType="separate"/>
    </w:r>
    <w:r w:rsidR="006601CE">
      <w:rPr>
        <w:rFonts w:ascii="Calibri" w:hAnsi="Calibri"/>
        <w:b/>
        <w:noProof/>
        <w:sz w:val="16"/>
        <w:szCs w:val="16"/>
      </w:rPr>
      <w:t>4</w:t>
    </w:r>
    <w:r w:rsidRPr="00F913EB">
      <w:rPr>
        <w:rFonts w:ascii="Calibri" w:hAnsi="Calibri"/>
        <w:b/>
        <w:sz w:val="16"/>
        <w:szCs w:val="16"/>
      </w:rPr>
      <w:fldChar w:fldCharType="end"/>
    </w:r>
    <w:r w:rsidRPr="00F913EB">
      <w:rPr>
        <w:rFonts w:ascii="Calibri" w:hAnsi="Calibri"/>
        <w:b/>
        <w:sz w:val="16"/>
        <w:szCs w:val="16"/>
      </w:rPr>
      <w:t xml:space="preserve"> z </w:t>
    </w:r>
    <w:r w:rsidRPr="00F913EB">
      <w:rPr>
        <w:rFonts w:ascii="Calibri" w:hAnsi="Calibri"/>
        <w:b/>
        <w:sz w:val="16"/>
        <w:szCs w:val="16"/>
      </w:rPr>
      <w:fldChar w:fldCharType="begin"/>
    </w:r>
    <w:r w:rsidRPr="00F913EB">
      <w:rPr>
        <w:rFonts w:ascii="Calibri" w:hAnsi="Calibri"/>
        <w:b/>
        <w:sz w:val="16"/>
        <w:szCs w:val="16"/>
      </w:rPr>
      <w:instrText xml:space="preserve"> NUMPAGES </w:instrText>
    </w:r>
    <w:r w:rsidRPr="00F913EB">
      <w:rPr>
        <w:rFonts w:ascii="Calibri" w:hAnsi="Calibri"/>
        <w:b/>
        <w:sz w:val="16"/>
        <w:szCs w:val="16"/>
      </w:rPr>
      <w:fldChar w:fldCharType="separate"/>
    </w:r>
    <w:r w:rsidR="006601CE">
      <w:rPr>
        <w:rFonts w:ascii="Calibri" w:hAnsi="Calibri"/>
        <w:b/>
        <w:noProof/>
        <w:sz w:val="16"/>
        <w:szCs w:val="16"/>
      </w:rPr>
      <w:t>4</w:t>
    </w:r>
    <w:r w:rsidRPr="00F913EB">
      <w:rPr>
        <w:rFonts w:ascii="Calibri" w:hAnsi="Calibri"/>
        <w:b/>
        <w:sz w:val="16"/>
        <w:szCs w:val="16"/>
      </w:rPr>
      <w:fldChar w:fldCharType="end"/>
    </w:r>
  </w:p>
  <w:p w:rsidR="00DD2956" w:rsidRDefault="00DD2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813" w:rsidRDefault="00446813" w:rsidP="00DD2956">
      <w:pPr>
        <w:spacing w:after="0" w:line="240" w:lineRule="auto"/>
      </w:pPr>
      <w:r>
        <w:separator/>
      </w:r>
    </w:p>
  </w:footnote>
  <w:footnote w:type="continuationSeparator" w:id="0">
    <w:p w:rsidR="00446813" w:rsidRDefault="00446813" w:rsidP="00DD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956" w:rsidRDefault="00DD2956">
    <w:pPr>
      <w:pStyle w:val="Nagwek"/>
    </w:pPr>
    <w:r>
      <w:rPr>
        <w:rFonts w:ascii="Arial" w:hAnsi="Arial" w:cs="Arial"/>
        <w:b/>
        <w:sz w:val="18"/>
        <w:szCs w:val="18"/>
        <w:u w:val="single"/>
      </w:rPr>
      <w:t>WZP/WI/U-..................................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1B3"/>
    <w:multiLevelType w:val="hybridMultilevel"/>
    <w:tmpl w:val="3118E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4837"/>
    <w:multiLevelType w:val="hybridMultilevel"/>
    <w:tmpl w:val="72C2013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10FF7"/>
    <w:multiLevelType w:val="hybridMultilevel"/>
    <w:tmpl w:val="4076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A7D88"/>
    <w:multiLevelType w:val="hybridMultilevel"/>
    <w:tmpl w:val="2A22C76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6811B2"/>
    <w:multiLevelType w:val="hybridMultilevel"/>
    <w:tmpl w:val="2F5C2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6F4"/>
    <w:multiLevelType w:val="hybridMultilevel"/>
    <w:tmpl w:val="91A2608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510F8C"/>
    <w:multiLevelType w:val="hybridMultilevel"/>
    <w:tmpl w:val="C67CFCF4"/>
    <w:lvl w:ilvl="0" w:tplc="DCB006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1651"/>
    <w:multiLevelType w:val="hybridMultilevel"/>
    <w:tmpl w:val="B4A0119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B35E45"/>
    <w:multiLevelType w:val="hybridMultilevel"/>
    <w:tmpl w:val="AE1267F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AC0E93"/>
    <w:multiLevelType w:val="hybridMultilevel"/>
    <w:tmpl w:val="A76AFA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634447"/>
    <w:multiLevelType w:val="hybridMultilevel"/>
    <w:tmpl w:val="20A254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71"/>
    <w:rsid w:val="001374D2"/>
    <w:rsid w:val="001A7A71"/>
    <w:rsid w:val="0023718F"/>
    <w:rsid w:val="00237887"/>
    <w:rsid w:val="00241A68"/>
    <w:rsid w:val="00446813"/>
    <w:rsid w:val="00524C4F"/>
    <w:rsid w:val="006601CE"/>
    <w:rsid w:val="00704267"/>
    <w:rsid w:val="00BE0019"/>
    <w:rsid w:val="00C410A9"/>
    <w:rsid w:val="00DD2956"/>
    <w:rsid w:val="00F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0AAC"/>
  <w15:chartTrackingRefBased/>
  <w15:docId w15:val="{CD248A1B-55F8-45EA-B3E3-96E31F0B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3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1374D2"/>
  </w:style>
  <w:style w:type="character" w:customStyle="1" w:styleId="normaltextrun1">
    <w:name w:val="normaltextrun1"/>
    <w:basedOn w:val="Domylnaczcionkaakapitu"/>
    <w:rsid w:val="001374D2"/>
  </w:style>
  <w:style w:type="character" w:customStyle="1" w:styleId="eop">
    <w:name w:val="eop"/>
    <w:basedOn w:val="Domylnaczcionkaakapitu"/>
    <w:rsid w:val="001374D2"/>
  </w:style>
  <w:style w:type="paragraph" w:styleId="Akapitzlist">
    <w:name w:val="List Paragraph"/>
    <w:basedOn w:val="Normalny"/>
    <w:uiPriority w:val="34"/>
    <w:qFormat/>
    <w:rsid w:val="00BE00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956"/>
  </w:style>
  <w:style w:type="paragraph" w:styleId="Stopka">
    <w:name w:val="footer"/>
    <w:basedOn w:val="Normalny"/>
    <w:link w:val="StopkaZnak"/>
    <w:unhideWhenUsed/>
    <w:rsid w:val="00DD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956"/>
  </w:style>
  <w:style w:type="paragraph" w:styleId="Tekstdymka">
    <w:name w:val="Balloon Text"/>
    <w:basedOn w:val="Normalny"/>
    <w:link w:val="TekstdymkaZnak"/>
    <w:uiPriority w:val="99"/>
    <w:semiHidden/>
    <w:unhideWhenUsed/>
    <w:rsid w:val="0066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36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3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3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1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4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89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9508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83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9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51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176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71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214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460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2281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4449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0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3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81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66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786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1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78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8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72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66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238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735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7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5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2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62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0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0044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57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64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424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094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534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671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101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800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030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329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74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297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698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592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095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9714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0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6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6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67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2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1807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1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155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7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83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76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803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978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379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5383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62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5931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6264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1548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1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25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52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19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3540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84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18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76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190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321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473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306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842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26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5012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689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342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0880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icrosoft.com/pl-pl/learning/exam-70-385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crosoft.com/pl-pl/learning/exam-70-385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icrosoft.com/pl-pl/learning/exam-70-385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pl-pl/learning/exam-70-385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1304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Baraniewski</dc:creator>
  <cp:keywords/>
  <dc:description/>
  <cp:lastModifiedBy>Adrian Baraniewski</cp:lastModifiedBy>
  <cp:revision>6</cp:revision>
  <cp:lastPrinted>2018-02-08T08:05:00Z</cp:lastPrinted>
  <dcterms:created xsi:type="dcterms:W3CDTF">2018-02-02T09:06:00Z</dcterms:created>
  <dcterms:modified xsi:type="dcterms:W3CDTF">2018-02-08T08:08:00Z</dcterms:modified>
</cp:coreProperties>
</file>